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BF3794">
      <w:pPr>
        <w:jc w:val="center"/>
        <w:rPr>
          <w:rFonts w:hint="eastAsia" w:ascii="黑体" w:hAnsi="黑体" w:eastAsia="黑体"/>
          <w:b/>
          <w:bCs/>
          <w:sz w:val="32"/>
          <w:szCs w:val="32"/>
        </w:rPr>
      </w:pPr>
      <w:r>
        <w:rPr>
          <w:rFonts w:hint="eastAsia" w:ascii="黑体" w:hAnsi="黑体" w:eastAsia="黑体"/>
          <w:b/>
          <w:bCs/>
          <w:sz w:val="32"/>
          <w:szCs w:val="32"/>
        </w:rPr>
        <w:t>“心血管系统核素显像</w:t>
      </w:r>
      <w:r>
        <w:rPr>
          <w:rFonts w:hint="eastAsia" w:ascii="黑体" w:hAnsi="黑体" w:eastAsia="黑体"/>
          <w:b/>
          <w:bCs/>
          <w:sz w:val="32"/>
          <w:szCs w:val="32"/>
          <w:lang w:val="en-US" w:eastAsia="zh-CN"/>
        </w:rPr>
        <w:t>-</w:t>
      </w:r>
      <w:r>
        <w:rPr>
          <w:rFonts w:hint="eastAsia" w:ascii="黑体" w:hAnsi="黑体" w:eastAsia="黑体"/>
          <w:b/>
          <w:bCs/>
          <w:sz w:val="32"/>
          <w:szCs w:val="32"/>
        </w:rPr>
        <w:t>《</w:t>
      </w:r>
      <w:r>
        <w:rPr>
          <w:rFonts w:hint="eastAsia" w:ascii="黑体" w:hAnsi="黑体" w:eastAsia="黑体"/>
          <w:b/>
          <w:bCs/>
          <w:sz w:val="32"/>
          <w:szCs w:val="32"/>
          <w:lang w:val="en-US" w:eastAsia="zh-CN"/>
        </w:rPr>
        <w:t>核医学与分子影像</w:t>
      </w:r>
      <w:r>
        <w:rPr>
          <w:rFonts w:hint="eastAsia" w:ascii="黑体" w:hAnsi="黑体" w:eastAsia="黑体"/>
          <w:b/>
          <w:bCs/>
          <w:sz w:val="32"/>
          <w:szCs w:val="32"/>
        </w:rPr>
        <w:t>》”课程思政教学案例</w:t>
      </w:r>
    </w:p>
    <w:p w14:paraId="17D37A76">
      <w:pPr>
        <w:spacing w:line="360" w:lineRule="auto"/>
        <w:jc w:val="center"/>
        <w:rPr>
          <w:rFonts w:hint="eastAsia" w:ascii="黑体" w:hAnsi="黑体" w:eastAsia="黑体"/>
          <w:i/>
          <w:iCs/>
          <w:color w:val="FF0000"/>
          <w:sz w:val="32"/>
          <w:szCs w:val="32"/>
        </w:rPr>
      </w:pPr>
    </w:p>
    <w:p w14:paraId="3C7BB65A">
      <w:pPr>
        <w:spacing w:line="360" w:lineRule="auto"/>
        <w:rPr>
          <w:rFonts w:hint="eastAsia" w:ascii="黑体" w:hAnsi="黑体" w:eastAsia="黑体"/>
          <w:sz w:val="30"/>
          <w:szCs w:val="30"/>
        </w:rPr>
      </w:pPr>
      <w:r>
        <w:rPr>
          <w:rFonts w:hint="eastAsia" w:ascii="黑体" w:hAnsi="黑体" w:eastAsia="黑体"/>
          <w:sz w:val="30"/>
          <w:szCs w:val="30"/>
        </w:rPr>
        <w:t>一、课程信息</w:t>
      </w:r>
    </w:p>
    <w:p w14:paraId="119C612F">
      <w:pPr>
        <w:spacing w:line="360" w:lineRule="auto"/>
        <w:rPr>
          <w:rFonts w:hint="eastAsia" w:ascii="宋体" w:hAnsi="宋体" w:eastAsia="宋体"/>
          <w:b/>
          <w:bCs/>
          <w:i/>
          <w:iCs/>
          <w:color w:val="FF0000"/>
          <w:sz w:val="28"/>
          <w:szCs w:val="28"/>
        </w:rPr>
      </w:pPr>
      <w:r>
        <w:rPr>
          <w:rFonts w:hint="eastAsia" w:ascii="宋体" w:hAnsi="宋体" w:eastAsia="宋体"/>
          <w:b/>
          <w:bCs/>
          <w:sz w:val="28"/>
          <w:szCs w:val="28"/>
        </w:rPr>
        <w:t>（一）课程简介</w:t>
      </w:r>
    </w:p>
    <w:p w14:paraId="2CA9F943">
      <w:pPr>
        <w:spacing w:line="360" w:lineRule="auto"/>
        <w:ind w:firstLine="420" w:firstLineChars="200"/>
        <w:rPr>
          <w:rFonts w:hint="eastAsia" w:ascii="宋体" w:hAnsi="宋体" w:eastAsia="宋体"/>
          <w:sz w:val="21"/>
          <w:szCs w:val="21"/>
        </w:rPr>
      </w:pPr>
      <w:r>
        <w:rPr>
          <w:rFonts w:hint="eastAsia" w:ascii="宋体" w:hAnsi="宋体" w:eastAsia="宋体"/>
          <w:sz w:val="21"/>
          <w:szCs w:val="21"/>
        </w:rPr>
        <w:t>《核医学与分子影像》是一门融合影像学、放射医学、分子生物学与临床医学等多学科知识的交叉课程，主要研究放射性示踪技术和分子影像技术在疾病早期诊断、疗效评估及精准治疗中的应用。课程内容涵盖放射性药物的原理与制备、SPECT与PET等成像设备的工作机制、临床常见疾病的影像表现及分子探针的开发与应用。通过理论讲授、案例分析与实验实践相结合的教学方式，帮助学生系统掌握核医</w:t>
      </w:r>
      <w:bookmarkStart w:id="0" w:name="_GoBack"/>
      <w:bookmarkEnd w:id="0"/>
      <w:r>
        <w:rPr>
          <w:rFonts w:hint="eastAsia" w:ascii="宋体" w:hAnsi="宋体" w:eastAsia="宋体"/>
          <w:sz w:val="21"/>
          <w:szCs w:val="21"/>
        </w:rPr>
        <w:t>学基本理论与技术方法，了解前沿研究动态和技术发展趋势。课程注重结合临床实际需求、技术创新与产业转化应用，着力培养学生分析和解决复杂医学问题的能力，强化科研素养、创新思维与跨学科协作意识，为未来从事核医学、影像技术相关工作的专业人才打下坚实基础。</w:t>
      </w:r>
    </w:p>
    <w:p w14:paraId="6860D352">
      <w:pPr>
        <w:spacing w:line="360" w:lineRule="auto"/>
        <w:rPr>
          <w:rFonts w:hint="eastAsia" w:ascii="宋体" w:hAnsi="宋体" w:eastAsia="宋体"/>
          <w:b/>
          <w:bCs/>
          <w:sz w:val="28"/>
          <w:szCs w:val="28"/>
        </w:rPr>
      </w:pPr>
      <w:r>
        <w:rPr>
          <w:rFonts w:hint="eastAsia" w:ascii="宋体" w:hAnsi="宋体" w:eastAsia="宋体"/>
          <w:b/>
          <w:bCs/>
          <w:sz w:val="28"/>
          <w:szCs w:val="28"/>
        </w:rPr>
        <w:t>（二）教学目标</w:t>
      </w:r>
    </w:p>
    <w:p w14:paraId="32367F93">
      <w:pPr>
        <w:spacing w:line="360" w:lineRule="auto"/>
        <w:ind w:firstLine="422" w:firstLineChars="200"/>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知识目标：</w:t>
      </w:r>
      <w:r>
        <w:rPr>
          <w:rFonts w:hint="default" w:ascii="Times New Roman" w:hAnsi="Times New Roman" w:eastAsia="宋体" w:cs="Times New Roman"/>
          <w:sz w:val="21"/>
          <w:szCs w:val="21"/>
        </w:rPr>
        <w:t>掌握心肌灌注显像（SPECT/PET）、代谢显像（如¹⁸F-FDG评估心肌存活）、心血池显像（门控显像法）及心功能参数（LVEF、EDV/ESV）的原理与临床应用。</w:t>
      </w:r>
    </w:p>
    <w:p w14:paraId="0EA4E0E0">
      <w:pPr>
        <w:spacing w:line="360" w:lineRule="auto"/>
        <w:ind w:firstLine="422" w:firstLineChars="200"/>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技能目标：</w:t>
      </w:r>
      <w:r>
        <w:rPr>
          <w:rFonts w:hint="default" w:ascii="Times New Roman" w:hAnsi="Times New Roman" w:eastAsia="宋体" w:cs="Times New Roman"/>
          <w:sz w:val="21"/>
          <w:szCs w:val="21"/>
        </w:rPr>
        <w:t>能独立分析心肌缺血、梗死及存活心肌的核素图像特征；掌握动态心血池显像操作流程；对比不同显像技术在冠心病、心肌病诊断中的优劣势。</w:t>
      </w:r>
    </w:p>
    <w:p w14:paraId="1D78FB0F">
      <w:pPr>
        <w:spacing w:line="360" w:lineRule="auto"/>
        <w:ind w:firstLine="422" w:firstLineChars="200"/>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素养目标：</w:t>
      </w:r>
      <w:r>
        <w:rPr>
          <w:rFonts w:hint="default" w:ascii="Times New Roman" w:hAnsi="Times New Roman" w:eastAsia="宋体" w:cs="Times New Roman"/>
          <w:sz w:val="21"/>
          <w:szCs w:val="21"/>
        </w:rPr>
        <w:t>树立辐射防护与伦理意识，理解核素显像对个体化治疗方案（如血运重建决策）的指导价值，培养基于循证医学的临床决策能力。</w:t>
      </w:r>
    </w:p>
    <w:p w14:paraId="2B00C1AE">
      <w:pPr>
        <w:keepNext w:val="0"/>
        <w:keepLines w:val="0"/>
        <w:pageBreakBefore w:val="0"/>
        <w:kinsoku/>
        <w:wordWrap/>
        <w:overflowPunct/>
        <w:topLinePunct w:val="0"/>
        <w:autoSpaceDN/>
        <w:bidi w:val="0"/>
        <w:adjustRightInd/>
        <w:snapToGrid/>
        <w:spacing w:line="360" w:lineRule="auto"/>
        <w:textAlignment w:val="auto"/>
        <w:rPr>
          <w:rFonts w:hint="eastAsia" w:ascii="黑体" w:hAnsi="黑体" w:eastAsia="黑体"/>
          <w:sz w:val="30"/>
          <w:szCs w:val="30"/>
        </w:rPr>
      </w:pPr>
      <w:r>
        <w:rPr>
          <w:rFonts w:hint="eastAsia" w:ascii="黑体" w:hAnsi="黑体" w:eastAsia="黑体"/>
          <w:sz w:val="30"/>
          <w:szCs w:val="30"/>
        </w:rPr>
        <w:t>二、思政素材</w:t>
      </w:r>
    </w:p>
    <w:p w14:paraId="7FB6E8F7">
      <w:pPr>
        <w:keepNext w:val="0"/>
        <w:keepLines w:val="0"/>
        <w:pageBreakBefore w:val="0"/>
        <w:kinsoku/>
        <w:wordWrap/>
        <w:overflowPunct/>
        <w:topLinePunct w:val="0"/>
        <w:autoSpaceDN/>
        <w:bidi w:val="0"/>
        <w:adjustRightInd/>
        <w:snapToGrid/>
        <w:spacing w:line="360" w:lineRule="auto"/>
        <w:textAlignment w:val="auto"/>
        <w:rPr>
          <w:rFonts w:hint="eastAsia" w:ascii="宋体" w:hAnsi="宋体" w:eastAsia="宋体"/>
          <w:b/>
          <w:bCs/>
          <w:i/>
          <w:iCs/>
          <w:color w:val="FF0000"/>
          <w:sz w:val="21"/>
          <w:szCs w:val="21"/>
        </w:rPr>
      </w:pPr>
      <w:r>
        <w:rPr>
          <w:rFonts w:hint="eastAsia" w:ascii="宋体" w:hAnsi="宋体" w:eastAsia="宋体"/>
          <w:b/>
          <w:bCs/>
          <w:sz w:val="28"/>
          <w:szCs w:val="28"/>
        </w:rPr>
        <w:t>（一）适用范围</w:t>
      </w:r>
    </w:p>
    <w:p w14:paraId="51DDBE64">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本素材适用于《核医学与分子影像》第八章</w:t>
      </w:r>
      <w:r>
        <w:rPr>
          <w:rFonts w:hint="eastAsia" w:eastAsia="宋体" w:cs="Times New Roman"/>
          <w:sz w:val="21"/>
          <w:szCs w:val="21"/>
          <w:lang w:val="en-US" w:eastAsia="zh-CN"/>
        </w:rPr>
        <w:t>“</w:t>
      </w:r>
      <w:r>
        <w:rPr>
          <w:rFonts w:hint="default" w:ascii="Times New Roman" w:hAnsi="Times New Roman" w:eastAsia="宋体" w:cs="Times New Roman"/>
          <w:sz w:val="21"/>
          <w:szCs w:val="21"/>
          <w:lang w:val="en-US" w:eastAsia="zh-CN"/>
        </w:rPr>
        <w:t>心血管系统核素显像</w:t>
      </w:r>
      <w:r>
        <w:rPr>
          <w:rFonts w:hint="eastAsia" w:eastAsia="宋体" w:cs="Times New Roman"/>
          <w:sz w:val="21"/>
          <w:szCs w:val="21"/>
          <w:lang w:val="en-US" w:eastAsia="zh-CN"/>
        </w:rPr>
        <w:t>”</w:t>
      </w:r>
      <w:r>
        <w:rPr>
          <w:rFonts w:hint="default" w:ascii="Times New Roman" w:hAnsi="Times New Roman" w:eastAsia="宋体" w:cs="Times New Roman"/>
          <w:sz w:val="21"/>
          <w:szCs w:val="21"/>
          <w:lang w:val="en-US" w:eastAsia="zh-CN"/>
        </w:rPr>
        <w:t>，适用于核心知识点为心肌灌注显像（静息/负荷试验）的临床路径与图像判读，心肌代谢显像（¹⁸F-FDG/PET）在存活心肌评估中的应用，门控心血池显像技术（首次通过法/平衡法）等。</w:t>
      </w:r>
    </w:p>
    <w:p w14:paraId="04C77FF1">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选用教材为教材名称：《核医学与分子影像（第</w:t>
      </w:r>
      <w:r>
        <w:rPr>
          <w:rFonts w:hint="eastAsia" w:eastAsia="宋体" w:cs="Times New Roman"/>
          <w:sz w:val="21"/>
          <w:szCs w:val="21"/>
          <w:lang w:val="en-US" w:eastAsia="zh-CN"/>
        </w:rPr>
        <w:t>四</w:t>
      </w:r>
      <w:r>
        <w:rPr>
          <w:rFonts w:hint="default" w:ascii="Times New Roman" w:hAnsi="Times New Roman" w:eastAsia="宋体" w:cs="Times New Roman"/>
          <w:sz w:val="21"/>
          <w:szCs w:val="21"/>
          <w:lang w:val="en-US" w:eastAsia="zh-CN"/>
        </w:rPr>
        <w:t>版）》，主编：黄钢、李亚明，出版社：人民卫生出版社，出版时间：2022年7月，ISBN：978-7-117-33105-9，参考章节：第八章</w:t>
      </w:r>
      <w:r>
        <w:rPr>
          <w:rFonts w:hint="eastAsia" w:eastAsia="宋体" w:cs="Times New Roman"/>
          <w:sz w:val="21"/>
          <w:szCs w:val="21"/>
          <w:lang w:val="en-US" w:eastAsia="zh-CN"/>
        </w:rPr>
        <w:t>“</w:t>
      </w:r>
      <w:r>
        <w:rPr>
          <w:rFonts w:hint="default" w:ascii="Times New Roman" w:hAnsi="Times New Roman" w:eastAsia="宋体" w:cs="Times New Roman"/>
          <w:sz w:val="21"/>
          <w:szCs w:val="21"/>
          <w:lang w:val="en-US" w:eastAsia="zh-CN"/>
        </w:rPr>
        <w:t>心血管系统</w:t>
      </w:r>
      <w:r>
        <w:rPr>
          <w:rFonts w:hint="eastAsia" w:eastAsia="宋体" w:cs="Times New Roman"/>
          <w:sz w:val="21"/>
          <w:szCs w:val="21"/>
          <w:lang w:val="en-US" w:eastAsia="zh-CN"/>
        </w:rPr>
        <w:t>”</w:t>
      </w:r>
      <w:r>
        <w:rPr>
          <w:rFonts w:hint="default" w:ascii="Times New Roman" w:hAnsi="Times New Roman" w:eastAsia="宋体" w:cs="Times New Roman"/>
          <w:sz w:val="21"/>
          <w:szCs w:val="21"/>
          <w:lang w:val="en-US" w:eastAsia="zh-CN"/>
        </w:rPr>
        <w:t>（P187-224）。</w:t>
      </w:r>
    </w:p>
    <w:p w14:paraId="684D0973">
      <w:pPr>
        <w:keepNext w:val="0"/>
        <w:keepLines w:val="0"/>
        <w:pageBreakBefore w:val="0"/>
        <w:kinsoku/>
        <w:wordWrap/>
        <w:overflowPunct/>
        <w:topLinePunct w:val="0"/>
        <w:autoSpaceDN/>
        <w:bidi w:val="0"/>
        <w:adjustRightInd/>
        <w:snapToGrid/>
        <w:spacing w:line="360" w:lineRule="auto"/>
        <w:textAlignment w:val="auto"/>
        <w:rPr>
          <w:rFonts w:hint="eastAsia" w:ascii="宋体" w:hAnsi="宋体" w:eastAsia="宋体"/>
          <w:b/>
          <w:bCs/>
          <w:i/>
          <w:iCs/>
          <w:color w:val="FF0000"/>
          <w:sz w:val="21"/>
          <w:szCs w:val="21"/>
        </w:rPr>
      </w:pPr>
      <w:r>
        <w:rPr>
          <w:rFonts w:hint="eastAsia" w:ascii="宋体" w:hAnsi="宋体" w:eastAsia="宋体"/>
          <w:b/>
          <w:bCs/>
          <w:sz w:val="28"/>
          <w:szCs w:val="28"/>
        </w:rPr>
        <w:t>（二）</w:t>
      </w:r>
      <w:r>
        <w:rPr>
          <w:rFonts w:hint="eastAsia" w:ascii="宋体" w:hAnsi="宋体" w:eastAsia="宋体"/>
          <w:b/>
          <w:bCs/>
          <w:sz w:val="28"/>
          <w:szCs w:val="28"/>
          <w:lang w:val="en-US" w:eastAsia="zh-CN"/>
        </w:rPr>
        <w:t>素材内容</w:t>
      </w:r>
    </w:p>
    <w:p w14:paraId="48EBD1D4">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素材内容1</w:t>
      </w:r>
      <w:r>
        <w:rPr>
          <w:rFonts w:hint="eastAsia" w:eastAsia="宋体" w:cs="Times New Roman"/>
          <w:b/>
          <w:bCs/>
          <w:sz w:val="21"/>
          <w:szCs w:val="21"/>
          <w:lang w:val="en-US" w:eastAsia="zh-CN"/>
        </w:rPr>
        <w:t>：“两弹一星”精神融入核医学课程</w:t>
      </w:r>
      <w:r>
        <w:rPr>
          <w:rFonts w:hint="eastAsia" w:eastAsia="宋体" w:cs="Times New Roman"/>
          <w:b/>
          <w:bCs/>
          <w:sz w:val="21"/>
          <w:szCs w:val="21"/>
          <w:vertAlign w:val="superscript"/>
          <w:lang w:val="en-US" w:eastAsia="zh-CN"/>
        </w:rPr>
        <w:t>[1-3]</w:t>
      </w:r>
    </w:p>
    <w:p w14:paraId="641373F1">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u w:val="single"/>
          <w:lang w:val="en-US" w:eastAsia="zh-CN"/>
        </w:rPr>
      </w:pPr>
      <w:r>
        <w:rPr>
          <w:rFonts w:hint="eastAsia" w:eastAsia="宋体" w:cs="Times New Roman"/>
          <w:sz w:val="21"/>
          <w:szCs w:val="21"/>
          <w:lang w:val="en-US" w:eastAsia="zh-CN"/>
        </w:rPr>
        <w:t>上世纪五六十年代，为应对核讹诈、打破技术垄断、增强国防实力，中国坚定走自主研发之路。1964年原子弹爆炸成功，1966年导弹核武器试验成功，1967年氢弹试验成功，1970年首颗人造卫星发射成功，标志着“两弹一星”事业的辉煌成就。在党中央统一领导下，钱学森、邓稼先等一大批科技工作者不畏艰难、隐姓埋名、无私奉献，为新中国在一穷二白的基础上实现从无到有、从弱到强的跨越，孕育形成了“热爱祖国、无私奉献、自力更生、艰苦奋斗、大力协同、勇于登攀”的“两弹一星”精神。2020年9月11日，习近平总书记在主持召开科学家座谈会时指出，</w:t>
      </w:r>
      <w:r>
        <w:rPr>
          <w:rFonts w:hint="eastAsia" w:eastAsia="宋体" w:cs="Times New Roman"/>
          <w:sz w:val="21"/>
          <w:szCs w:val="21"/>
          <w:u w:val="single"/>
          <w:lang w:val="en-US" w:eastAsia="zh-CN"/>
        </w:rPr>
        <w:t>希望广大科技工作者不忘初心、牢记使命，秉持国家利益和人民利益至上，继承和发扬老一辈科学家胸怀祖国、服务人民的优秀品质，弘扬“两弹一星”精神，主动肩负起历史重任，把自己的科学追求融入建设社会主义现代化国家的伟大事业中去。</w:t>
      </w:r>
    </w:p>
    <w:p w14:paraId="1DE516B1">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当今世界百年未有之大变局加速演进，我国发展面临的国内外环境发生深刻复杂变化，科技创新成为国际战略博弈的主要战场，“十四五”时期以及更长时期的发展对加快科技创新提出了更为迫切的要求。把握大势、抢占先机，直面问题、迎难而上，加快建设科技强国，实现高水平科技自立自强，要大力弘扬“两弹一星”精神，响应党的号召，听从祖国召唤，保持深厚的家国情怀和强烈的社会责任感，不畏艰难，无私奉献，为党、为祖国、为人民不懈奋斗；以与时俱进的精神、革故鼎新的勇气、坚忍不拔的定力，敢于走前人没走过的路，勇于攻坚克难、追求卓越、赢得胜利，积极抢占科技竞争和未来发展制高点，努力实现关键核心技术自主可控；发挥新型举国体制优势，坚决破除影响和制约科技核心竞争力提升的体制机制障碍，推动科技创新力量布局、要素配置、人才队伍体系化、协同化，勇攀科技高峰，服务国家发展大局，牢牢把握创新发展主动权。</w:t>
      </w:r>
    </w:p>
    <w:p w14:paraId="7B586CF6">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bCs/>
          <w:sz w:val="21"/>
          <w:szCs w:val="21"/>
          <w:vertAlign w:val="superscript"/>
          <w:lang w:val="en-US" w:eastAsia="zh-CN"/>
        </w:rPr>
      </w:pPr>
      <w:r>
        <w:rPr>
          <w:rFonts w:hint="eastAsia" w:eastAsia="宋体" w:cs="Times New Roman"/>
          <w:b/>
          <w:bCs/>
          <w:sz w:val="21"/>
          <w:szCs w:val="21"/>
          <w:lang w:val="en-US" w:eastAsia="zh-CN"/>
        </w:rPr>
        <w:t>素材内容2：挖掘医疗现状，融入情系祖国的爱国情操</w:t>
      </w:r>
      <w:r>
        <w:rPr>
          <w:rFonts w:hint="eastAsia" w:eastAsia="宋体" w:cs="Times New Roman"/>
          <w:b/>
          <w:bCs/>
          <w:sz w:val="21"/>
          <w:szCs w:val="21"/>
          <w:vertAlign w:val="superscript"/>
          <w:lang w:val="en-US" w:eastAsia="zh-CN"/>
        </w:rPr>
        <w:t>[4-5]</w:t>
      </w:r>
    </w:p>
    <w:p w14:paraId="46775443">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根据《中国卫生健康统计年鉴2022》</w:t>
      </w:r>
      <w:r>
        <w:rPr>
          <w:rFonts w:hint="eastAsia" w:eastAsia="宋体" w:cs="Times New Roman"/>
          <w:sz w:val="21"/>
          <w:szCs w:val="21"/>
          <w:vertAlign w:val="superscript"/>
          <w:lang w:val="en-US" w:eastAsia="zh-CN"/>
        </w:rPr>
        <w:t>[6]</w:t>
      </w:r>
      <w:r>
        <w:rPr>
          <w:rFonts w:hint="eastAsia" w:eastAsia="宋体" w:cs="Times New Roman"/>
          <w:sz w:val="21"/>
          <w:szCs w:val="21"/>
          <w:lang w:val="en-US" w:eastAsia="zh-CN"/>
        </w:rPr>
        <w:t>，2021年中国城市居民脑血管病死亡率为140.02/10万，占城市总死亡人数的21.71%，居城市居民死亡原因的第3位；农村居民脑血管病死亡率为175.58/10万，占农村总死亡人数的23.62%，居农村居民死亡原因的第2位。整体来看，中国居民脑血管病死亡率呈现出“男性高于女性、农村高于城市”的特点。</w:t>
      </w:r>
    </w:p>
    <w:p w14:paraId="2412BAD9">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在讲授冠心病相关内容（如心绞痛、心肌梗死）时，可融入我国冠心病监护病房（coronary care unit, CCU）的建立与发展、胸痛中心的建设，以及近年来心脏介入技术的迅猛进展等内容，帮助学生深入了解我国心血管医学前辈在降低冠心病死亡率方面所做的努力与贡献。同时，引导学生关注心血管领域的新技术与发展方向，激发其学习热情与敬业精神。另一方面，尽管我国冠心病的诊治起步较晚，但发展迅速，近年来已在多个方面取得显著进步。然而，受庞大人口基数、快速的经济发展、社会结构变化（如城镇化与人口老龄化）以及生活方式转变（如不良饮食、缺乏运动、吸烟等）的影响，各类危险因素广泛存在。在部分地区，疾病知晓率仍较低，危险因素控制不力，导致心血管疾病负担依然沉重，且呈持续上升趋势。</w:t>
      </w:r>
    </w:p>
    <w:p w14:paraId="278DAF04">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u w:val="single"/>
          <w:lang w:val="en-US" w:eastAsia="zh-CN"/>
        </w:rPr>
      </w:pPr>
      <w:r>
        <w:rPr>
          <w:rFonts w:hint="eastAsia" w:eastAsia="宋体" w:cs="Times New Roman"/>
          <w:sz w:val="21"/>
          <w:szCs w:val="21"/>
          <w:u w:val="single"/>
          <w:lang w:val="en-US" w:eastAsia="zh-CN"/>
        </w:rPr>
        <w:t>因此，在心血管疾病相关教学中，可引入预防医学与心脏康复的知识，引导学生从多角度思考医疗与社会问题，拓展临床思维，增强健康管理意识，树立服务人民健康的责任感，为推动医学事业发展持续奋斗。</w:t>
      </w:r>
    </w:p>
    <w:p w14:paraId="2958F75E">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bCs/>
          <w:sz w:val="21"/>
          <w:szCs w:val="21"/>
          <w:lang w:val="en-US" w:eastAsia="zh-CN"/>
        </w:rPr>
      </w:pPr>
      <w:r>
        <w:rPr>
          <w:rFonts w:hint="eastAsia" w:eastAsia="宋体" w:cs="Times New Roman"/>
          <w:b/>
          <w:bCs/>
          <w:sz w:val="21"/>
          <w:szCs w:val="21"/>
          <w:lang w:val="en-US" w:eastAsia="zh-CN"/>
        </w:rPr>
        <w:t>资料来源：</w:t>
      </w:r>
    </w:p>
    <w:p w14:paraId="49A46773">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[1] 胡知临, 王晓伟, 鲍萍, 杜志辉, 龚军军. “两弹一星”精神融入涉核课程思政教育的探索[J]. 教育进展, 2024, 14(11): 846-851.</w:t>
      </w:r>
    </w:p>
    <w:p w14:paraId="3E3112DC">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[2] 习近平在全国高校思想政治工作会议上强调:把思想政治工作贯穿教育教学全过程, 开创我国高等教育事业发展新局面[N]. 人民日报, 2016-12-09.</w:t>
      </w:r>
    </w:p>
    <w:p w14:paraId="753EFD23">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eastAsia="宋体" w:cs="Times New Roman"/>
          <w:sz w:val="21"/>
          <w:szCs w:val="21"/>
          <w:lang w:val="en-US" w:eastAsia="zh-CN"/>
        </w:rPr>
      </w:pPr>
      <w:r>
        <w:rPr>
          <w:rFonts w:hint="eastAsia" w:eastAsia="宋体" w:cs="Times New Roman"/>
          <w:sz w:val="21"/>
          <w:szCs w:val="21"/>
          <w:lang w:val="en-US" w:eastAsia="zh-CN"/>
        </w:rPr>
        <w:t>[3] 人民日报：弘扬“两弹一星”精神主动肩负起历史重任—论中国共产党人的精神谱系之十二.</w:t>
      </w:r>
    </w:p>
    <w:p w14:paraId="53C90775">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[4] 徐蕙枫, 严文文, 陈治松, 周琳, 宋浩明. 思政元素融入心血管系统整合课程PBL教学实践探讨[J]. 教育进展, 2023, 13(2): 707-712.</w:t>
      </w:r>
    </w:p>
    <w:p w14:paraId="3807419E">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eastAsia="宋体" w:cs="Times New Roman"/>
          <w:sz w:val="21"/>
          <w:szCs w:val="21"/>
          <w:lang w:val="en-US" w:eastAsia="zh-CN"/>
        </w:rPr>
      </w:pPr>
      <w:r>
        <w:rPr>
          <w:rFonts w:hint="default" w:eastAsia="宋体" w:cs="Times New Roman"/>
          <w:sz w:val="21"/>
          <w:szCs w:val="21"/>
          <w:lang w:val="en-US" w:eastAsia="zh-CN"/>
        </w:rPr>
        <w:t>[</w:t>
      </w:r>
      <w:r>
        <w:rPr>
          <w:rFonts w:hint="eastAsia" w:eastAsia="宋体" w:cs="Times New Roman"/>
          <w:sz w:val="21"/>
          <w:szCs w:val="21"/>
          <w:lang w:val="en-US" w:eastAsia="zh-CN"/>
        </w:rPr>
        <w:t>5</w:t>
      </w:r>
      <w:r>
        <w:rPr>
          <w:rFonts w:hint="default" w:eastAsia="宋体" w:cs="Times New Roman"/>
          <w:sz w:val="21"/>
          <w:szCs w:val="21"/>
          <w:lang w:val="en-US" w:eastAsia="zh-CN"/>
        </w:rPr>
        <w:t>]</w:t>
      </w:r>
      <w:r>
        <w:rPr>
          <w:rFonts w:hint="eastAsia" w:eastAsia="宋体" w:cs="Times New Roman"/>
          <w:sz w:val="21"/>
          <w:szCs w:val="21"/>
          <w:lang w:val="en-US" w:eastAsia="zh-CN"/>
        </w:rPr>
        <w:t xml:space="preserve"> </w:t>
      </w:r>
      <w:r>
        <w:rPr>
          <w:rFonts w:hint="default" w:eastAsia="宋体" w:cs="Times New Roman"/>
          <w:sz w:val="21"/>
          <w:szCs w:val="21"/>
          <w:lang w:val="en-US" w:eastAsia="zh-CN"/>
        </w:rPr>
        <w:t>国家卫生健康委员会.中国心血管健康与疾病报告2023</w:t>
      </w:r>
      <w:r>
        <w:rPr>
          <w:rFonts w:hint="eastAsia" w:eastAsia="宋体" w:cs="Times New Roman"/>
          <w:sz w:val="21"/>
          <w:szCs w:val="21"/>
          <w:lang w:val="en-US" w:eastAsia="zh-CN"/>
        </w:rPr>
        <w:t>.</w:t>
      </w:r>
    </w:p>
    <w:p w14:paraId="1BC5480C">
      <w:pPr>
        <w:keepNext w:val="0"/>
        <w:keepLines w:val="0"/>
        <w:pageBreakBefore w:val="0"/>
        <w:kinsoku/>
        <w:wordWrap/>
        <w:overflowPunct/>
        <w:topLinePunct w:val="0"/>
        <w:autoSpaceDN/>
        <w:bidi w:val="0"/>
        <w:adjustRightInd/>
        <w:snapToGrid/>
        <w:spacing w:line="360" w:lineRule="auto"/>
        <w:ind w:firstLine="420" w:firstLineChars="200"/>
        <w:textAlignment w:val="auto"/>
        <w:rPr>
          <w:rFonts w:eastAsia="宋体" w:cs="Times New Roman"/>
          <w:sz w:val="21"/>
          <w:szCs w:val="21"/>
        </w:rPr>
      </w:pPr>
      <w:r>
        <w:rPr>
          <w:rFonts w:hint="eastAsia" w:eastAsia="宋体" w:cs="Times New Roman"/>
          <w:sz w:val="21"/>
          <w:szCs w:val="21"/>
          <w:lang w:val="en-US" w:eastAsia="zh-CN"/>
        </w:rPr>
        <w:t>[6] 国家卫生健康委员会.中国卫生健康统计年鉴2022[M]. 北京：中国协和医科大学出版社，2022.</w:t>
      </w:r>
    </w:p>
    <w:p w14:paraId="27E2747B">
      <w:pPr>
        <w:keepNext w:val="0"/>
        <w:keepLines w:val="0"/>
        <w:pageBreakBefore w:val="0"/>
        <w:kinsoku/>
        <w:wordWrap/>
        <w:overflowPunct/>
        <w:topLinePunct w:val="0"/>
        <w:autoSpaceDN/>
        <w:bidi w:val="0"/>
        <w:adjustRightInd/>
        <w:snapToGrid/>
        <w:spacing w:line="360" w:lineRule="auto"/>
        <w:textAlignment w:val="auto"/>
        <w:rPr>
          <w:rFonts w:hint="eastAsia" w:ascii="黑体" w:hAnsi="黑体" w:eastAsia="黑体"/>
          <w:sz w:val="30"/>
          <w:szCs w:val="30"/>
        </w:rPr>
      </w:pPr>
      <w:r>
        <w:rPr>
          <w:rFonts w:hint="eastAsia" w:ascii="黑体" w:hAnsi="黑体" w:eastAsia="黑体"/>
          <w:sz w:val="30"/>
          <w:szCs w:val="30"/>
        </w:rPr>
        <w:t>三、教学设计及反思</w:t>
      </w:r>
    </w:p>
    <w:p w14:paraId="7E73E086">
      <w:pPr>
        <w:keepNext w:val="0"/>
        <w:keepLines w:val="0"/>
        <w:pageBreakBefore w:val="0"/>
        <w:kinsoku/>
        <w:wordWrap/>
        <w:overflowPunct/>
        <w:topLinePunct w:val="0"/>
        <w:autoSpaceDN/>
        <w:bidi w:val="0"/>
        <w:adjustRightInd/>
        <w:snapToGrid/>
        <w:spacing w:line="360" w:lineRule="auto"/>
        <w:textAlignment w:val="auto"/>
        <w:rPr>
          <w:rFonts w:hint="eastAsia" w:ascii="黑体" w:hAnsi="黑体" w:eastAsia="黑体"/>
          <w:sz w:val="30"/>
          <w:szCs w:val="30"/>
          <w:lang w:eastAsia="zh-CN"/>
        </w:rPr>
      </w:pPr>
      <w:r>
        <w:rPr>
          <w:rFonts w:hint="eastAsia" w:ascii="黑体" w:hAnsi="黑体" w:eastAsia="黑体"/>
          <w:sz w:val="30"/>
          <w:szCs w:val="30"/>
        </w:rPr>
        <w:t>教学设计</w:t>
      </w:r>
      <w:r>
        <w:rPr>
          <w:rFonts w:hint="eastAsia" w:ascii="黑体" w:hAnsi="黑体" w:eastAsia="黑体"/>
          <w:sz w:val="30"/>
          <w:szCs w:val="30"/>
          <w:lang w:eastAsia="zh-CN"/>
        </w:rPr>
        <w:t>：</w:t>
      </w:r>
    </w:p>
    <w:p w14:paraId="32AF62A3">
      <w:pPr>
        <w:keepNext w:val="0"/>
        <w:keepLines w:val="0"/>
        <w:pageBreakBefore w:val="0"/>
        <w:kinsoku/>
        <w:wordWrap/>
        <w:overflowPunct/>
        <w:topLinePunct w:val="0"/>
        <w:autoSpaceDN/>
        <w:bidi w:val="0"/>
        <w:adjustRightInd/>
        <w:snapToGrid/>
        <w:spacing w:line="360" w:lineRule="auto"/>
        <w:textAlignment w:val="auto"/>
        <w:rPr>
          <w:rFonts w:hint="eastAsia" w:eastAsia="宋体" w:cs="Times New Roman"/>
          <w:b/>
          <w:bCs/>
          <w:sz w:val="21"/>
          <w:szCs w:val="21"/>
          <w:lang w:val="en-US" w:eastAsia="zh-CN"/>
        </w:rPr>
      </w:pPr>
      <w:r>
        <w:rPr>
          <w:rFonts w:hint="eastAsia" w:eastAsia="宋体" w:cs="Times New Roman"/>
          <w:b/>
          <w:bCs/>
          <w:sz w:val="21"/>
          <w:szCs w:val="21"/>
          <w:lang w:val="en-US" w:eastAsia="zh-CN"/>
        </w:rPr>
        <w:t>一、课程思政教学目标:</w:t>
      </w:r>
    </w:p>
    <w:p w14:paraId="20741A09">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本章节在传授专业知识与技能的基础上，积极融入课程思政元素，引导学生形成正确的价值观、职业观与国家观。主要思政教学目标有以下内容：</w:t>
      </w:r>
    </w:p>
    <w:p w14:paraId="658C1509">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（1）融入“两弹一星”精神，弘扬科学家爱国奉献、艰苦奋斗、协同攻关的精神品质，引导学生树立科技报国理想。</w:t>
      </w:r>
    </w:p>
    <w:p w14:paraId="02DCD6C7">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在课程中融入“两弹一星”精神，通过讲述我国在极其艰苦条件下，老一辈科学家自力更生、集智攻关、无私奉献的发展历程，激励学生理解核技术从国防到和平医疗的伟大转变，增强民族自豪感和科技自信。通过对邓稼先、钱学森等科学家事迹的学习，引导学生从专业视角思考“核”的多元应用，激发其对核医学事业的责任感与使命感。培养学生将“科技报国”作为理想信念，立志将专业所学服务于国家重大需求与人民生命健康事业，为推动我国核医学自主创新与高质量发展贡献智慧和力量。</w:t>
      </w:r>
    </w:p>
    <w:p w14:paraId="3F2B2F46">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（2）通过分析我国心血管疾病防控现状，引导学生关注国民健康，增强社会责任与历史使命感。</w:t>
      </w:r>
    </w:p>
    <w:p w14:paraId="779BDBBC">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课程通过展示《中国心血管健康与疾病报告》等权威数据，分析我国冠心病等心血管疾病的发病率、致死率及分布特点，帮助学生了解当前公共卫生面临的严峻挑战。结合城乡差异、人口老龄化、不健康生活方式等现实因素，引导学生反思医学发展的社会背景，从临床诊疗延伸至健康教育与慢病管理的全过程。鼓励学生主动关注人民群众的健康需求，增强作为医学生和未来医疗工作者的社会责任感与历史使命感，真正做到“以人民健康为中心”，为提升全民健康水平和疾病防控能力而努力奋斗。</w:t>
      </w:r>
    </w:p>
    <w:p w14:paraId="5B7BA6FF">
      <w:pPr>
        <w:keepNext w:val="0"/>
        <w:keepLines w:val="0"/>
        <w:pageBreakBefore w:val="0"/>
        <w:numPr>
          <w:ilvl w:val="0"/>
          <w:numId w:val="1"/>
        </w:numPr>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培养学生将个人职业发展与国家医疗发展相结合的意识，增强“医学报国”的信念。</w:t>
      </w:r>
    </w:p>
    <w:p w14:paraId="5E606B21">
      <w:pPr>
        <w:keepNext w:val="0"/>
        <w:keepLines w:val="0"/>
        <w:pageBreakBefore w:val="0"/>
        <w:numPr>
          <w:ilvl w:val="0"/>
          <w:numId w:val="0"/>
        </w:numPr>
        <w:kinsoku/>
        <w:wordWrap/>
        <w:overflowPunct/>
        <w:topLinePunct w:val="0"/>
        <w:autoSpaceDN/>
        <w:bidi w:val="0"/>
        <w:adjustRightInd/>
        <w:snapToGrid/>
        <w:spacing w:line="360" w:lineRule="auto"/>
        <w:ind w:firstLine="420" w:firstLineChars="200"/>
        <w:textAlignment w:val="auto"/>
        <w:rPr>
          <w:rFonts w:hint="eastAsia" w:eastAsia="宋体" w:cs="Times New Roman"/>
          <w:sz w:val="21"/>
          <w:szCs w:val="21"/>
          <w:lang w:val="en-US" w:eastAsia="zh-CN"/>
        </w:rPr>
      </w:pPr>
      <w:r>
        <w:rPr>
          <w:rFonts w:hint="eastAsia" w:eastAsia="宋体" w:cs="Times New Roman"/>
          <w:sz w:val="21"/>
          <w:szCs w:val="21"/>
          <w:lang w:val="en-US" w:eastAsia="zh-CN"/>
        </w:rPr>
        <w:t>通过课程教学与实践讨论，引导学生认识医学不仅是一门科学，更是一项关乎人民福祉的国家战略事业。在核医学影像不断发展、技术日新月异的背景下，鼓励学生把握国家推动精准医疗与“健康中国2030”战略机遇，将自身职业发展目标与国家医疗科技发展方向相融合。课程通过优秀校友故事、行业发展实例等，激发学生对医学事业的热爱与责任，增强其将专业技能转化为服务社会的能力，坚定“医学报国、服务人民”的职业信念，立志成为有理想、有担当、有能力的新时代医学人才。</w:t>
      </w:r>
    </w:p>
    <w:p w14:paraId="5F71B817">
      <w:pPr>
        <w:keepNext w:val="0"/>
        <w:keepLines w:val="0"/>
        <w:pageBreakBefore w:val="0"/>
        <w:numPr>
          <w:ilvl w:val="0"/>
          <w:numId w:val="0"/>
        </w:numPr>
        <w:kinsoku/>
        <w:wordWrap/>
        <w:overflowPunct/>
        <w:topLinePunct w:val="0"/>
        <w:autoSpaceDN/>
        <w:bidi w:val="0"/>
        <w:adjustRightInd/>
        <w:snapToGrid/>
        <w:spacing w:line="360" w:lineRule="auto"/>
        <w:textAlignment w:val="auto"/>
        <w:rPr>
          <w:rFonts w:hint="eastAsia" w:eastAsia="宋体" w:cs="Times New Roman"/>
          <w:sz w:val="21"/>
          <w:szCs w:val="21"/>
          <w:lang w:val="en-US" w:eastAsia="zh-CN"/>
        </w:rPr>
      </w:pPr>
      <w:r>
        <w:rPr>
          <w:rFonts w:hint="eastAsia" w:eastAsia="宋体" w:cs="Times New Roman"/>
          <w:b/>
          <w:bCs/>
          <w:sz w:val="21"/>
          <w:szCs w:val="21"/>
          <w:lang w:val="en-US" w:eastAsia="zh-CN"/>
        </w:rPr>
        <w:t>二、教学内容与过程设计：</w:t>
      </w:r>
    </w:p>
    <w:p w14:paraId="4B9D00A7">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sz w:val="21"/>
          <w:szCs w:val="21"/>
          <w:lang w:val="en-US" w:eastAsia="zh-CN"/>
        </w:rPr>
      </w:pPr>
      <w:r>
        <w:rPr>
          <w:rFonts w:hint="eastAsia" w:eastAsia="宋体" w:cs="Times New Roman"/>
          <w:b/>
          <w:bCs/>
          <w:sz w:val="21"/>
          <w:szCs w:val="21"/>
          <w:lang w:val="en-US" w:eastAsia="zh-CN"/>
        </w:rPr>
        <w:t>（1）</w:t>
      </w:r>
      <w:r>
        <w:rPr>
          <w:rFonts w:hint="default" w:eastAsia="宋体" w:cs="Times New Roman"/>
          <w:b/>
          <w:bCs/>
          <w:sz w:val="21"/>
          <w:szCs w:val="21"/>
          <w:lang w:val="en-US" w:eastAsia="zh-CN"/>
        </w:rPr>
        <w:t>导入环节（10分钟）</w:t>
      </w:r>
      <w:r>
        <w:rPr>
          <w:rFonts w:hint="eastAsia" w:eastAsia="宋体" w:cs="Times New Roman"/>
          <w:sz w:val="21"/>
          <w:szCs w:val="21"/>
          <w:lang w:val="en-US" w:eastAsia="zh-CN"/>
        </w:rPr>
        <w:t>：</w:t>
      </w:r>
    </w:p>
    <w:p w14:paraId="1E1F7A3E">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sz w:val="21"/>
          <w:szCs w:val="21"/>
          <w:lang w:val="en-US" w:eastAsia="zh-CN"/>
        </w:rPr>
      </w:pPr>
      <w:r>
        <w:rPr>
          <w:rFonts w:hint="eastAsia" w:eastAsia="宋体" w:cs="Times New Roman"/>
          <w:b/>
          <w:bCs/>
          <w:sz w:val="21"/>
          <w:szCs w:val="21"/>
          <w:lang w:val="en-US" w:eastAsia="zh-CN"/>
        </w:rPr>
        <w:t>①课程导入：</w:t>
      </w:r>
      <w:r>
        <w:rPr>
          <w:rFonts w:hint="eastAsia" w:eastAsia="宋体" w:cs="Times New Roman"/>
          <w:sz w:val="21"/>
          <w:szCs w:val="21"/>
          <w:lang w:val="en-US" w:eastAsia="zh-CN"/>
        </w:rPr>
        <w:t>教师可借助视频短片《心脏之影：用核素看见心跳》或利用动态图像资源，展示核素显像如何“看见”心脏的灌注、代谢与运动功能，引发学生兴趣和思考。视频中清晰生动的动态心肌显像画面能有效激发学生的直观感受，使学生在进入专业知识前就初步理解核医学在心血管系统中的应用价值。</w:t>
      </w:r>
    </w:p>
    <w:p w14:paraId="73761B22">
      <w:pPr>
        <w:keepNext w:val="0"/>
        <w:keepLines w:val="0"/>
        <w:pageBreakBefore w:val="0"/>
        <w:kinsoku/>
        <w:wordWrap/>
        <w:overflowPunct/>
        <w:topLinePunct w:val="0"/>
        <w:autoSpaceDN/>
        <w:bidi w:val="0"/>
        <w:adjustRightInd/>
        <w:snapToGrid/>
        <w:spacing w:line="360" w:lineRule="auto"/>
        <w:ind w:firstLine="422" w:firstLineChars="200"/>
        <w:jc w:val="center"/>
        <w:textAlignment w:val="auto"/>
        <w:rPr>
          <w:rFonts w:hint="eastAsia" w:eastAsia="宋体" w:cs="Times New Roman"/>
          <w:b/>
          <w:bCs/>
          <w:sz w:val="21"/>
          <w:szCs w:val="21"/>
          <w:lang w:val="en-US" w:eastAsia="zh-CN"/>
        </w:rPr>
      </w:pPr>
      <w:r>
        <w:rPr>
          <w:rFonts w:hint="eastAsia" w:eastAsia="宋体" w:cs="Times New Roman"/>
          <w:b/>
          <w:bCs/>
          <w:sz w:val="21"/>
          <w:szCs w:val="21"/>
          <w:lang w:val="en-US" w:eastAsia="zh-CN"/>
        </w:rPr>
        <w:drawing>
          <wp:inline distT="0" distB="0" distL="114300" distR="114300">
            <wp:extent cx="3218815" cy="2068195"/>
            <wp:effectExtent l="0" t="0" r="889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3218815" cy="2068195"/>
                    </a:xfrm>
                    <a:prstGeom prst="rect">
                      <a:avLst/>
                    </a:prstGeom>
                    <a:noFill/>
                    <a:ln>
                      <a:noFill/>
                    </a:ln>
                  </pic:spPr>
                </pic:pic>
              </a:graphicData>
            </a:graphic>
          </wp:inline>
        </w:drawing>
      </w:r>
    </w:p>
    <w:p w14:paraId="2DCC7585">
      <w:pPr>
        <w:keepNext w:val="0"/>
        <w:keepLines w:val="0"/>
        <w:pageBreakBefore w:val="0"/>
        <w:kinsoku/>
        <w:wordWrap/>
        <w:overflowPunct/>
        <w:topLinePunct w:val="0"/>
        <w:autoSpaceDN/>
        <w:bidi w:val="0"/>
        <w:adjustRightInd/>
        <w:snapToGrid/>
        <w:spacing w:line="360" w:lineRule="auto"/>
        <w:ind w:firstLine="422" w:firstLineChars="200"/>
        <w:jc w:val="center"/>
        <w:textAlignment w:val="auto"/>
        <w:rPr>
          <w:rFonts w:hint="default" w:eastAsia="宋体" w:cs="Times New Roman"/>
          <w:b/>
          <w:bCs/>
          <w:sz w:val="21"/>
          <w:szCs w:val="21"/>
          <w:lang w:val="en-US" w:eastAsia="zh-CN"/>
        </w:rPr>
      </w:pPr>
      <w:r>
        <w:rPr>
          <w:rFonts w:hint="default" w:eastAsia="宋体" w:cs="Times New Roman"/>
          <w:b/>
          <w:bCs/>
          <w:sz w:val="21"/>
          <w:szCs w:val="21"/>
          <w:lang w:val="en-US" w:eastAsia="zh-CN"/>
        </w:rPr>
        <w:t>用核素看见心跳</w:t>
      </w:r>
      <w:r>
        <w:rPr>
          <w:rFonts w:hint="eastAsia" w:eastAsia="宋体" w:cs="Times New Roman"/>
          <w:b/>
          <w:bCs/>
          <w:sz w:val="21"/>
          <w:szCs w:val="21"/>
          <w:lang w:val="en-US" w:eastAsia="zh-CN"/>
        </w:rPr>
        <w:t>视频截图</w:t>
      </w:r>
    </w:p>
    <w:p w14:paraId="1FDB20DA">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sz w:val="21"/>
          <w:szCs w:val="21"/>
          <w:lang w:val="en-US" w:eastAsia="zh-CN"/>
        </w:rPr>
      </w:pPr>
      <w:r>
        <w:rPr>
          <w:rFonts w:hint="eastAsia" w:eastAsia="宋体" w:cs="Times New Roman"/>
          <w:b/>
          <w:bCs/>
          <w:sz w:val="21"/>
          <w:szCs w:val="21"/>
          <w:lang w:val="en-US" w:eastAsia="zh-CN"/>
        </w:rPr>
        <w:t>②教师提出引导性问题：</w:t>
      </w:r>
      <w:r>
        <w:rPr>
          <w:rFonts w:hint="eastAsia" w:eastAsia="宋体" w:cs="Times New Roman"/>
          <w:sz w:val="21"/>
          <w:szCs w:val="21"/>
          <w:lang w:val="en-US" w:eastAsia="zh-CN"/>
        </w:rPr>
        <w:t>“如何在影像中判断一块看似‘沉默’的心肌区域，是否仍有生机？”鼓励学生带着问题走入接下来的学习环节。</w:t>
      </w:r>
    </w:p>
    <w:p w14:paraId="7BDF7AA0">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sz w:val="21"/>
          <w:szCs w:val="21"/>
          <w:lang w:val="en-US" w:eastAsia="zh-CN"/>
        </w:rPr>
      </w:pPr>
      <w:r>
        <w:rPr>
          <w:rFonts w:hint="eastAsia" w:eastAsia="宋体" w:cs="Times New Roman"/>
          <w:b/>
          <w:bCs/>
          <w:sz w:val="21"/>
          <w:szCs w:val="21"/>
          <w:lang w:val="en-US" w:eastAsia="zh-CN"/>
        </w:rPr>
        <w:t>③教师介绍教学目标：</w:t>
      </w:r>
      <w:r>
        <w:rPr>
          <w:rFonts w:hint="eastAsia" w:eastAsia="宋体" w:cs="Times New Roman"/>
          <w:sz w:val="21"/>
          <w:szCs w:val="21"/>
          <w:lang w:val="en-US" w:eastAsia="zh-CN"/>
        </w:rPr>
        <w:t>明确指出学生将通过本节内容掌握心肌灌注显像、代谢显像、心血池显像的原理与临床应用，具备图像判读与技术比较能力，并在此基础上，树立辐射防护意识，培养循证思维与临床判断能力。</w:t>
      </w:r>
    </w:p>
    <w:p w14:paraId="6AEDAEA2">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sz w:val="21"/>
          <w:szCs w:val="21"/>
          <w:lang w:val="en-US" w:eastAsia="zh-CN"/>
        </w:rPr>
      </w:pPr>
      <w:r>
        <w:rPr>
          <w:rFonts w:hint="eastAsia" w:eastAsia="宋体" w:cs="Times New Roman"/>
          <w:b/>
          <w:bCs/>
          <w:sz w:val="21"/>
          <w:szCs w:val="21"/>
          <w:lang w:val="en-US" w:eastAsia="zh-CN"/>
        </w:rPr>
        <w:t>④课程思政融入：</w:t>
      </w:r>
      <w:r>
        <w:rPr>
          <w:rFonts w:hint="eastAsia" w:eastAsia="宋体" w:cs="Times New Roman"/>
          <w:sz w:val="21"/>
          <w:szCs w:val="21"/>
          <w:lang w:val="en-US" w:eastAsia="zh-CN"/>
        </w:rPr>
        <w:t>此环节可引入“两弹一星”精神，通过讲述我国核技术发展历程，特别是核能在医学中的和平利用过程，让学生认识核医学不仅是高科技与生命健康结合的产物，更是国家战略力量的一部分。通过讲述老一辈科技工作者在艰苦条件下攻坚克难、无私奉献的事迹，引导学生增强历史使命感和专业责任感。</w:t>
      </w:r>
    </w:p>
    <w:p w14:paraId="3407F319">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eastAsia="宋体" w:cs="Times New Roman"/>
          <w:b/>
          <w:bCs/>
          <w:sz w:val="21"/>
          <w:szCs w:val="21"/>
          <w:lang w:val="en-US" w:eastAsia="zh-CN"/>
        </w:rPr>
      </w:pPr>
      <w:r>
        <w:rPr>
          <w:rFonts w:hint="eastAsia" w:eastAsia="宋体" w:cs="Times New Roman"/>
          <w:b/>
          <w:bCs/>
          <w:sz w:val="21"/>
          <w:szCs w:val="21"/>
          <w:lang w:val="en-US" w:eastAsia="zh-CN"/>
        </w:rPr>
        <w:t>（2）</w:t>
      </w:r>
      <w:r>
        <w:rPr>
          <w:rFonts w:hint="default" w:eastAsia="宋体" w:cs="Times New Roman"/>
          <w:b/>
          <w:bCs/>
          <w:sz w:val="21"/>
          <w:szCs w:val="21"/>
          <w:lang w:val="en-US" w:eastAsia="zh-CN"/>
        </w:rPr>
        <w:t>理论讲授环节（60分钟）</w:t>
      </w:r>
    </w:p>
    <w:p w14:paraId="0D01866D">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eastAsia="宋体" w:cs="Times New Roman"/>
          <w:b w:val="0"/>
          <w:bCs w:val="0"/>
          <w:sz w:val="21"/>
          <w:szCs w:val="21"/>
          <w:lang w:val="en-US" w:eastAsia="zh-CN"/>
        </w:rPr>
      </w:pPr>
      <w:r>
        <w:rPr>
          <w:rFonts w:hint="default" w:eastAsia="宋体" w:cs="Times New Roman"/>
          <w:b w:val="0"/>
          <w:bCs w:val="0"/>
          <w:sz w:val="21"/>
          <w:szCs w:val="21"/>
          <w:lang w:val="en-US" w:eastAsia="zh-CN"/>
        </w:rPr>
        <w:t>本环节为知识内容的主体部分，教师通过多媒体课件、病例图像与动画演示，讲解以下三个核心模块。</w:t>
      </w:r>
    </w:p>
    <w:p w14:paraId="120BAB82">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eastAsia="宋体" w:cs="Times New Roman"/>
          <w:b w:val="0"/>
          <w:bCs w:val="0"/>
          <w:sz w:val="21"/>
          <w:szCs w:val="21"/>
          <w:lang w:val="en-US" w:eastAsia="zh-CN"/>
        </w:rPr>
      </w:pPr>
      <w:r>
        <w:rPr>
          <w:rFonts w:hint="eastAsia" w:eastAsia="宋体" w:cs="Times New Roman"/>
          <w:b/>
          <w:bCs/>
          <w:sz w:val="21"/>
          <w:szCs w:val="21"/>
          <w:lang w:val="en-US" w:eastAsia="zh-CN"/>
        </w:rPr>
        <w:t>①</w:t>
      </w:r>
      <w:r>
        <w:rPr>
          <w:rFonts w:hint="default" w:eastAsia="宋体" w:cs="Times New Roman"/>
          <w:b/>
          <w:bCs/>
          <w:sz w:val="21"/>
          <w:szCs w:val="21"/>
          <w:lang w:val="en-US" w:eastAsia="zh-CN"/>
        </w:rPr>
        <w:t>心肌灌注显像（Myocardial Perfusion Imaging, MPI）</w:t>
      </w:r>
      <w:r>
        <w:rPr>
          <w:rFonts w:hint="eastAsia" w:eastAsia="宋体" w:cs="Times New Roman"/>
          <w:b/>
          <w:bCs/>
          <w:sz w:val="21"/>
          <w:szCs w:val="21"/>
          <w:lang w:val="en-US" w:eastAsia="zh-CN"/>
        </w:rPr>
        <w:t>：</w:t>
      </w:r>
      <w:r>
        <w:rPr>
          <w:rFonts w:hint="default" w:eastAsia="宋体" w:cs="Times New Roman"/>
          <w:b w:val="0"/>
          <w:bCs w:val="0"/>
          <w:sz w:val="21"/>
          <w:szCs w:val="21"/>
          <w:lang w:val="en-US" w:eastAsia="zh-CN"/>
        </w:rPr>
        <w:t>基本原理</w:t>
      </w:r>
      <w:r>
        <w:rPr>
          <w:rFonts w:hint="eastAsia" w:eastAsia="宋体" w:cs="Times New Roman"/>
          <w:b w:val="0"/>
          <w:bCs w:val="0"/>
          <w:sz w:val="21"/>
          <w:szCs w:val="21"/>
          <w:lang w:val="en-US" w:eastAsia="zh-CN"/>
        </w:rPr>
        <w:t>为</w:t>
      </w:r>
      <w:r>
        <w:rPr>
          <w:rFonts w:hint="default" w:eastAsia="宋体" w:cs="Times New Roman"/>
          <w:b w:val="0"/>
          <w:bCs w:val="0"/>
          <w:sz w:val="21"/>
          <w:szCs w:val="21"/>
          <w:lang w:val="en-US" w:eastAsia="zh-CN"/>
        </w:rPr>
        <w:t>通过静脉注射放射性示踪剂（如99mTc-MIBI、201Tl、13N-NH₃等），利用其随血流分布到心肌组织的特性，借助SPECT或PET设备观察心肌血流分布情况。成像方式</w:t>
      </w:r>
      <w:r>
        <w:rPr>
          <w:rFonts w:hint="eastAsia" w:eastAsia="宋体" w:cs="Times New Roman"/>
          <w:b w:val="0"/>
          <w:bCs w:val="0"/>
          <w:sz w:val="21"/>
          <w:szCs w:val="21"/>
          <w:lang w:val="en-US" w:eastAsia="zh-CN"/>
        </w:rPr>
        <w:t>为</w:t>
      </w:r>
      <w:r>
        <w:rPr>
          <w:rFonts w:hint="default" w:eastAsia="宋体" w:cs="Times New Roman"/>
          <w:b w:val="0"/>
          <w:bCs w:val="0"/>
          <w:sz w:val="21"/>
          <w:szCs w:val="21"/>
          <w:lang w:val="en-US" w:eastAsia="zh-CN"/>
        </w:rPr>
        <w:t>静息+运动（或药物负荷）双阶段显像，进行动态或门控成像分析。图像解读</w:t>
      </w:r>
      <w:r>
        <w:rPr>
          <w:rFonts w:hint="eastAsia" w:eastAsia="宋体" w:cs="Times New Roman"/>
          <w:b w:val="0"/>
          <w:bCs w:val="0"/>
          <w:sz w:val="21"/>
          <w:szCs w:val="21"/>
          <w:lang w:val="en-US" w:eastAsia="zh-CN"/>
        </w:rPr>
        <w:t>为</w:t>
      </w:r>
      <w:r>
        <w:rPr>
          <w:rFonts w:hint="default" w:eastAsia="宋体" w:cs="Times New Roman"/>
          <w:b w:val="0"/>
          <w:bCs w:val="0"/>
          <w:sz w:val="21"/>
          <w:szCs w:val="21"/>
          <w:lang w:val="en-US" w:eastAsia="zh-CN"/>
        </w:rPr>
        <w:t>判断缺血（负荷阶段出现灌注缺损，静息阶段恢复）、梗死（两阶段均存在灌注缺损）等类型。临床应用</w:t>
      </w:r>
      <w:r>
        <w:rPr>
          <w:rFonts w:hint="eastAsia" w:eastAsia="宋体" w:cs="Times New Roman"/>
          <w:b w:val="0"/>
          <w:bCs w:val="0"/>
          <w:sz w:val="21"/>
          <w:szCs w:val="21"/>
          <w:lang w:val="en-US" w:eastAsia="zh-CN"/>
        </w:rPr>
        <w:t>为</w:t>
      </w:r>
      <w:r>
        <w:rPr>
          <w:rFonts w:hint="default" w:eastAsia="宋体" w:cs="Times New Roman"/>
          <w:b w:val="0"/>
          <w:bCs w:val="0"/>
          <w:sz w:val="21"/>
          <w:szCs w:val="21"/>
          <w:lang w:val="en-US" w:eastAsia="zh-CN"/>
        </w:rPr>
        <w:t>用于评估冠状动脉狭窄程度、判断是否需进行血运重建（如PCI或CABG），广泛应用于冠心病筛查、术前评估及预后判断。</w:t>
      </w:r>
    </w:p>
    <w:p w14:paraId="6E0AC612">
      <w:pPr>
        <w:keepNext w:val="0"/>
        <w:keepLines w:val="0"/>
        <w:pageBreakBefore w:val="0"/>
        <w:kinsoku/>
        <w:wordWrap/>
        <w:overflowPunct/>
        <w:topLinePunct w:val="0"/>
        <w:autoSpaceDN/>
        <w:bidi w:val="0"/>
        <w:adjustRightInd/>
        <w:snapToGrid/>
        <w:spacing w:line="360" w:lineRule="auto"/>
        <w:ind w:firstLine="420" w:firstLineChars="200"/>
        <w:jc w:val="center"/>
        <w:textAlignment w:val="auto"/>
        <w:rPr>
          <w:rFonts w:hint="default" w:eastAsia="宋体" w:cs="Times New Roman"/>
          <w:b w:val="0"/>
          <w:bCs w:val="0"/>
          <w:sz w:val="21"/>
          <w:szCs w:val="21"/>
          <w:lang w:val="en-US" w:eastAsia="zh-CN"/>
        </w:rPr>
      </w:pPr>
      <w:r>
        <w:rPr>
          <w:rFonts w:hint="default" w:eastAsia="宋体" w:cs="Times New Roman"/>
          <w:b w:val="0"/>
          <w:bCs w:val="0"/>
          <w:sz w:val="21"/>
          <w:szCs w:val="21"/>
          <w:lang w:val="en-US" w:eastAsia="zh-CN"/>
        </w:rPr>
        <w:drawing>
          <wp:inline distT="0" distB="0" distL="114300" distR="114300">
            <wp:extent cx="3336290" cy="2278380"/>
            <wp:effectExtent l="0" t="0" r="10160" b="10160"/>
            <wp:docPr id="23556" name="Picture 7" descr="fi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7" descr="fig03"/>
                    <pic:cNvPicPr>
                      <a:picLocks noChangeAspect="1"/>
                    </pic:cNvPicPr>
                  </pic:nvPicPr>
                  <pic:blipFill>
                    <a:blip r:embed="rId5"/>
                    <a:stretch>
                      <a:fillRect/>
                    </a:stretch>
                  </pic:blipFill>
                  <pic:spPr>
                    <a:xfrm>
                      <a:off x="0" y="0"/>
                      <a:ext cx="3336290" cy="2278380"/>
                    </a:xfrm>
                    <a:prstGeom prst="rect">
                      <a:avLst/>
                    </a:prstGeom>
                    <a:noFill/>
                    <a:ln w="9525">
                      <a:noFill/>
                    </a:ln>
                  </pic:spPr>
                </pic:pic>
              </a:graphicData>
            </a:graphic>
          </wp:inline>
        </w:drawing>
      </w:r>
    </w:p>
    <w:p w14:paraId="002058BC">
      <w:pPr>
        <w:keepNext w:val="0"/>
        <w:keepLines w:val="0"/>
        <w:pageBreakBefore w:val="0"/>
        <w:kinsoku/>
        <w:wordWrap/>
        <w:overflowPunct/>
        <w:topLinePunct w:val="0"/>
        <w:autoSpaceDN/>
        <w:bidi w:val="0"/>
        <w:adjustRightInd/>
        <w:snapToGrid/>
        <w:spacing w:line="360" w:lineRule="auto"/>
        <w:ind w:firstLine="422" w:firstLineChars="200"/>
        <w:jc w:val="center"/>
        <w:textAlignment w:val="auto"/>
        <w:rPr>
          <w:rFonts w:hint="default" w:eastAsia="宋体" w:cs="Times New Roman"/>
          <w:b/>
          <w:bCs/>
          <w:sz w:val="21"/>
          <w:szCs w:val="21"/>
          <w:lang w:val="en-US" w:eastAsia="zh-CN"/>
        </w:rPr>
      </w:pPr>
      <w:r>
        <w:rPr>
          <w:rFonts w:hint="default" w:eastAsia="宋体" w:cs="Times New Roman"/>
          <w:b/>
          <w:bCs/>
          <w:sz w:val="21"/>
          <w:szCs w:val="21"/>
          <w:lang w:val="en-US" w:eastAsia="zh-CN"/>
        </w:rPr>
        <w:t>SPECT心肌灌注显像</w:t>
      </w:r>
    </w:p>
    <w:p w14:paraId="2A7B7831">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eastAsia="宋体" w:cs="Times New Roman"/>
          <w:b w:val="0"/>
          <w:bCs w:val="0"/>
          <w:sz w:val="21"/>
          <w:szCs w:val="21"/>
          <w:lang w:val="en-US" w:eastAsia="zh-CN"/>
        </w:rPr>
      </w:pPr>
      <w:r>
        <w:rPr>
          <w:rFonts w:hint="eastAsia" w:eastAsia="宋体" w:cs="Times New Roman"/>
          <w:b/>
          <w:bCs/>
          <w:sz w:val="21"/>
          <w:szCs w:val="21"/>
          <w:lang w:val="en-US" w:eastAsia="zh-CN"/>
        </w:rPr>
        <w:t>②</w:t>
      </w:r>
      <w:r>
        <w:rPr>
          <w:rFonts w:hint="default" w:eastAsia="宋体" w:cs="Times New Roman"/>
          <w:b/>
          <w:bCs/>
          <w:sz w:val="21"/>
          <w:szCs w:val="21"/>
          <w:lang w:val="en-US" w:eastAsia="zh-CN"/>
        </w:rPr>
        <w:t>心肌代谢显像（Metabolic Imaging）</w:t>
      </w:r>
      <w:r>
        <w:rPr>
          <w:rFonts w:hint="eastAsia" w:eastAsia="宋体" w:cs="Times New Roman"/>
          <w:b w:val="0"/>
          <w:bCs w:val="0"/>
          <w:sz w:val="21"/>
          <w:szCs w:val="21"/>
          <w:lang w:val="en-US" w:eastAsia="zh-CN"/>
        </w:rPr>
        <w:t>：</w:t>
      </w:r>
      <w:r>
        <w:rPr>
          <w:rFonts w:hint="default" w:eastAsia="宋体" w:cs="Times New Roman"/>
          <w:b w:val="0"/>
          <w:bCs w:val="0"/>
          <w:sz w:val="21"/>
          <w:szCs w:val="21"/>
          <w:lang w:val="en-US" w:eastAsia="zh-CN"/>
        </w:rPr>
        <w:t>基础原理</w:t>
      </w:r>
      <w:r>
        <w:rPr>
          <w:rFonts w:hint="eastAsia" w:eastAsia="宋体" w:cs="Times New Roman"/>
          <w:b w:val="0"/>
          <w:bCs w:val="0"/>
          <w:sz w:val="21"/>
          <w:szCs w:val="21"/>
          <w:lang w:val="en-US" w:eastAsia="zh-CN"/>
        </w:rPr>
        <w:t>为</w:t>
      </w:r>
      <w:r>
        <w:rPr>
          <w:rFonts w:hint="default" w:eastAsia="宋体" w:cs="Times New Roman"/>
          <w:b w:val="0"/>
          <w:bCs w:val="0"/>
          <w:sz w:val="21"/>
          <w:szCs w:val="21"/>
          <w:lang w:val="en-US" w:eastAsia="zh-CN"/>
        </w:rPr>
        <w:t>心肌在缺血状态下，会改变能量代谢方式，从氧化脂肪酸转为依赖葡萄糖代谢。通过注射18F-FDG示踪剂（葡萄糖类似物），可观察心肌细胞的代谢活性。判断标准</w:t>
      </w:r>
      <w:r>
        <w:rPr>
          <w:rFonts w:hint="eastAsia" w:eastAsia="宋体" w:cs="Times New Roman"/>
          <w:b w:val="0"/>
          <w:bCs w:val="0"/>
          <w:sz w:val="21"/>
          <w:szCs w:val="21"/>
          <w:lang w:val="en-US" w:eastAsia="zh-CN"/>
        </w:rPr>
        <w:t>为</w:t>
      </w:r>
      <w:r>
        <w:rPr>
          <w:rFonts w:hint="default" w:eastAsia="宋体" w:cs="Times New Roman"/>
          <w:b w:val="0"/>
          <w:bCs w:val="0"/>
          <w:sz w:val="21"/>
          <w:szCs w:val="21"/>
          <w:lang w:val="en-US" w:eastAsia="zh-CN"/>
        </w:rPr>
        <w:t>灌注与代谢匹配缺损→梗死心肌（不可逆）</w:t>
      </w:r>
      <w:r>
        <w:rPr>
          <w:rFonts w:hint="eastAsia" w:eastAsia="宋体" w:cs="Times New Roman"/>
          <w:b w:val="0"/>
          <w:bCs w:val="0"/>
          <w:sz w:val="21"/>
          <w:szCs w:val="21"/>
          <w:lang w:val="en-US" w:eastAsia="zh-CN"/>
        </w:rPr>
        <w:t>，</w:t>
      </w:r>
      <w:r>
        <w:rPr>
          <w:rFonts w:hint="default" w:eastAsia="宋体" w:cs="Times New Roman"/>
          <w:b w:val="0"/>
          <w:bCs w:val="0"/>
          <w:sz w:val="21"/>
          <w:szCs w:val="21"/>
          <w:lang w:val="en-US" w:eastAsia="zh-CN"/>
        </w:rPr>
        <w:t>灌注缺损但代谢存在（不匹配）→ 存活心肌（可逆缺血）临床意义</w:t>
      </w:r>
      <w:r>
        <w:rPr>
          <w:rFonts w:hint="eastAsia" w:eastAsia="宋体" w:cs="Times New Roman"/>
          <w:b w:val="0"/>
          <w:bCs w:val="0"/>
          <w:sz w:val="21"/>
          <w:szCs w:val="21"/>
          <w:lang w:val="en-US" w:eastAsia="zh-CN"/>
        </w:rPr>
        <w:t>为</w:t>
      </w:r>
      <w:r>
        <w:rPr>
          <w:rFonts w:hint="default" w:eastAsia="宋体" w:cs="Times New Roman"/>
          <w:b w:val="0"/>
          <w:bCs w:val="0"/>
          <w:sz w:val="21"/>
          <w:szCs w:val="21"/>
          <w:lang w:val="en-US" w:eastAsia="zh-CN"/>
        </w:rPr>
        <w:t>帮助识别是否存在可存活心肌，从而指导是否实施血运重建手术，提高治疗获益。</w:t>
      </w:r>
    </w:p>
    <w:p w14:paraId="7AC9298B">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eastAsia="宋体" w:cs="Times New Roman"/>
          <w:b w:val="0"/>
          <w:bCs w:val="0"/>
          <w:sz w:val="21"/>
          <w:szCs w:val="21"/>
          <w:lang w:val="en-US" w:eastAsia="zh-CN"/>
        </w:rPr>
      </w:pPr>
      <w:r>
        <w:rPr>
          <w:rFonts w:hint="eastAsia" w:eastAsia="宋体" w:cs="Times New Roman"/>
          <w:b/>
          <w:bCs/>
          <w:sz w:val="21"/>
          <w:szCs w:val="21"/>
          <w:lang w:val="en-US" w:eastAsia="zh-CN"/>
        </w:rPr>
        <w:t>③</w:t>
      </w:r>
      <w:r>
        <w:rPr>
          <w:rFonts w:hint="default" w:eastAsia="宋体" w:cs="Times New Roman"/>
          <w:b/>
          <w:bCs/>
          <w:sz w:val="21"/>
          <w:szCs w:val="21"/>
          <w:lang w:val="en-US" w:eastAsia="zh-CN"/>
        </w:rPr>
        <w:t>心血池显像与心功能评价</w:t>
      </w:r>
      <w:r>
        <w:rPr>
          <w:rFonts w:hint="eastAsia" w:eastAsia="宋体" w:cs="Times New Roman"/>
          <w:b/>
          <w:bCs/>
          <w:sz w:val="21"/>
          <w:szCs w:val="21"/>
          <w:lang w:val="en-US" w:eastAsia="zh-CN"/>
        </w:rPr>
        <w:t>：</w:t>
      </w:r>
      <w:r>
        <w:rPr>
          <w:rFonts w:hint="default" w:eastAsia="宋体" w:cs="Times New Roman"/>
          <w:b w:val="0"/>
          <w:bCs w:val="0"/>
          <w:sz w:val="21"/>
          <w:szCs w:val="21"/>
          <w:lang w:val="en-US" w:eastAsia="zh-CN"/>
        </w:rPr>
        <w:t>技术原理</w:t>
      </w:r>
      <w:r>
        <w:rPr>
          <w:rFonts w:hint="eastAsia" w:eastAsia="宋体" w:cs="Times New Roman"/>
          <w:b w:val="0"/>
          <w:bCs w:val="0"/>
          <w:sz w:val="21"/>
          <w:szCs w:val="21"/>
          <w:lang w:val="en-US" w:eastAsia="zh-CN"/>
        </w:rPr>
        <w:t>为</w:t>
      </w:r>
      <w:r>
        <w:rPr>
          <w:rFonts w:hint="default" w:eastAsia="宋体" w:cs="Times New Roman"/>
          <w:b w:val="0"/>
          <w:bCs w:val="0"/>
          <w:sz w:val="21"/>
          <w:szCs w:val="21"/>
          <w:lang w:val="en-US" w:eastAsia="zh-CN"/>
        </w:rPr>
        <w:t>门控心血池显像（Gated Blood Pool Imaging, GBPI）是通过放射性标记红细胞，动态成像记录心腔内容物在不同心动周期的变化，进而分析心功能。参数分析：左心室射血分数（LVEF）</w:t>
      </w:r>
      <w:r>
        <w:rPr>
          <w:rFonts w:hint="eastAsia" w:eastAsia="宋体" w:cs="Times New Roman"/>
          <w:b w:val="0"/>
          <w:bCs w:val="0"/>
          <w:sz w:val="21"/>
          <w:szCs w:val="21"/>
          <w:lang w:val="en-US" w:eastAsia="zh-CN"/>
        </w:rPr>
        <w:t>，</w:t>
      </w:r>
      <w:r>
        <w:rPr>
          <w:rFonts w:hint="default" w:eastAsia="宋体" w:cs="Times New Roman"/>
          <w:b w:val="0"/>
          <w:bCs w:val="0"/>
          <w:sz w:val="21"/>
          <w:szCs w:val="21"/>
          <w:lang w:val="en-US" w:eastAsia="zh-CN"/>
        </w:rPr>
        <w:t>收缩末期容积（ESV）、舒张末期容积（EDV）</w:t>
      </w:r>
      <w:r>
        <w:rPr>
          <w:rFonts w:hint="eastAsia" w:eastAsia="宋体" w:cs="Times New Roman"/>
          <w:b w:val="0"/>
          <w:bCs w:val="0"/>
          <w:sz w:val="21"/>
          <w:szCs w:val="21"/>
          <w:lang w:val="en-US" w:eastAsia="zh-CN"/>
        </w:rPr>
        <w:t>。</w:t>
      </w:r>
      <w:r>
        <w:rPr>
          <w:rFonts w:hint="default" w:eastAsia="宋体" w:cs="Times New Roman"/>
          <w:b w:val="0"/>
          <w:bCs w:val="0"/>
          <w:sz w:val="21"/>
          <w:szCs w:val="21"/>
          <w:lang w:val="en-US" w:eastAsia="zh-CN"/>
        </w:rPr>
        <w:t>室壁运动情况评估：区域运动异常、广泛低动等。优势与局限</w:t>
      </w:r>
      <w:r>
        <w:rPr>
          <w:rFonts w:hint="eastAsia" w:eastAsia="宋体" w:cs="Times New Roman"/>
          <w:b w:val="0"/>
          <w:bCs w:val="0"/>
          <w:sz w:val="21"/>
          <w:szCs w:val="21"/>
          <w:lang w:val="en-US" w:eastAsia="zh-CN"/>
        </w:rPr>
        <w:t>为</w:t>
      </w:r>
      <w:r>
        <w:rPr>
          <w:rFonts w:hint="default" w:eastAsia="宋体" w:cs="Times New Roman"/>
          <w:b w:val="0"/>
          <w:bCs w:val="0"/>
          <w:sz w:val="21"/>
          <w:szCs w:val="21"/>
          <w:lang w:val="en-US" w:eastAsia="zh-CN"/>
        </w:rPr>
        <w:t>与超声心动图相比，核素显像在评估EF及壁运动方面更具量化优势，适用于形态异常或窗位受限的患者。</w:t>
      </w:r>
    </w:p>
    <w:p w14:paraId="364BEFEC">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default" w:eastAsia="宋体" w:cs="Times New Roman"/>
          <w:b w:val="0"/>
          <w:bCs w:val="0"/>
          <w:sz w:val="21"/>
          <w:szCs w:val="21"/>
          <w:lang w:val="en-US" w:eastAsia="zh-CN"/>
        </w:rPr>
      </w:pPr>
      <w:r>
        <w:rPr>
          <w:rFonts w:hint="default" w:eastAsia="宋体" w:cs="Times New Roman"/>
          <w:b w:val="0"/>
          <w:bCs w:val="0"/>
          <w:sz w:val="21"/>
          <w:szCs w:val="21"/>
          <w:lang w:val="en-US" w:eastAsia="zh-CN"/>
        </w:rPr>
        <w:t>课程思政融合点：在知识讲解过程中，穿插介绍我国冠心病监护病房（CCU）的建立过程、国家胸痛中心的分布与作用，以及近年来心脏介入技术的快速发展，从技术演进引出我国在心血管疾病诊疗领域的突出进展。让学生体会到现代医学科技背后，是一代又一代中国医学工作者的奋斗与坚守，从而增强专业认同感与历史责任感。</w:t>
      </w:r>
    </w:p>
    <w:p w14:paraId="1AED39DB">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bCs/>
          <w:sz w:val="21"/>
          <w:szCs w:val="21"/>
          <w:lang w:val="en-US" w:eastAsia="zh-CN"/>
        </w:rPr>
      </w:pPr>
      <w:r>
        <w:rPr>
          <w:rFonts w:hint="eastAsia" w:eastAsia="宋体" w:cs="Times New Roman"/>
          <w:b/>
          <w:bCs/>
          <w:sz w:val="21"/>
          <w:szCs w:val="21"/>
          <w:lang w:val="en-US" w:eastAsia="zh-CN"/>
        </w:rPr>
        <w:t>（3）案例分析与互动讨论（20分钟）</w:t>
      </w:r>
    </w:p>
    <w:p w14:paraId="2ED7B3CB">
      <w:pPr>
        <w:keepNext w:val="0"/>
        <w:keepLines w:val="0"/>
        <w:pageBreakBefore w:val="0"/>
        <w:kinsoku/>
        <w:wordWrap/>
        <w:overflowPunct/>
        <w:topLinePunct w:val="0"/>
        <w:autoSpaceDN/>
        <w:bidi w:val="0"/>
        <w:adjustRightInd/>
        <w:snapToGrid/>
        <w:spacing w:line="360" w:lineRule="auto"/>
        <w:ind w:firstLine="420" w:firstLineChars="200"/>
        <w:textAlignment w:val="auto"/>
        <w:rPr>
          <w:rFonts w:hint="eastAsia" w:eastAsia="宋体" w:cs="Times New Roman"/>
          <w:b w:val="0"/>
          <w:bCs w:val="0"/>
          <w:sz w:val="21"/>
          <w:szCs w:val="21"/>
          <w:lang w:val="en-US" w:eastAsia="zh-CN"/>
        </w:rPr>
      </w:pPr>
      <w:r>
        <w:rPr>
          <w:rFonts w:hint="eastAsia" w:eastAsia="宋体" w:cs="Times New Roman"/>
          <w:b w:val="0"/>
          <w:bCs w:val="0"/>
          <w:sz w:val="21"/>
          <w:szCs w:val="21"/>
          <w:lang w:val="en-US" w:eastAsia="zh-CN"/>
        </w:rPr>
        <w:t>本环节采用小组式教学方式，以学生参与为核心，提升图像分析技能与临床思维能力。</w:t>
      </w:r>
    </w:p>
    <w:p w14:paraId="4E859EE9">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①案例设置：</w:t>
      </w:r>
      <w:r>
        <w:rPr>
          <w:rFonts w:hint="eastAsia" w:eastAsia="宋体" w:cs="Times New Roman"/>
          <w:b w:val="0"/>
          <w:bCs w:val="0"/>
          <w:sz w:val="21"/>
          <w:szCs w:val="21"/>
          <w:lang w:val="en-US" w:eastAsia="zh-CN"/>
        </w:rPr>
        <w:t>男性，60岁。3个月前突发活动后胸闷、气促，无胸痛、头晕、晕厥，肢体运动障碍。</w:t>
      </w:r>
    </w:p>
    <w:p w14:paraId="1FE59702">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②心超示：</w:t>
      </w:r>
      <w:r>
        <w:rPr>
          <w:rFonts w:hint="eastAsia" w:eastAsia="宋体" w:cs="Times New Roman"/>
          <w:b w:val="0"/>
          <w:bCs w:val="0"/>
          <w:sz w:val="21"/>
          <w:szCs w:val="21"/>
          <w:lang w:val="en-US" w:eastAsia="zh-CN"/>
        </w:rPr>
        <w:t>左室扩大伴多壁段收缩活动减弱，EF34％。</w:t>
      </w:r>
    </w:p>
    <w:p w14:paraId="267294AF">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③冠脉造影</w:t>
      </w:r>
      <w:r>
        <w:rPr>
          <w:rFonts w:hint="eastAsia" w:eastAsia="宋体" w:cs="Times New Roman"/>
          <w:b w:val="0"/>
          <w:bCs w:val="0"/>
          <w:sz w:val="21"/>
          <w:szCs w:val="21"/>
          <w:lang w:val="en-US" w:eastAsia="zh-CN"/>
        </w:rPr>
        <w:t>：LAD终端分出D1后完全闭塞，近段狭窄90%，LCX中段完全闭塞，RCA中段完全闭塞。</w:t>
      </w:r>
    </w:p>
    <w:p w14:paraId="3FB29625">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④临床诊断：</w:t>
      </w:r>
      <w:r>
        <w:rPr>
          <w:rFonts w:hint="eastAsia" w:eastAsia="宋体" w:cs="Times New Roman"/>
          <w:b w:val="0"/>
          <w:bCs w:val="0"/>
          <w:sz w:val="21"/>
          <w:szCs w:val="21"/>
          <w:lang w:val="en-US" w:eastAsia="zh-CN"/>
        </w:rPr>
        <w:t>冠心病，三支病变，不稳定型心绞痛，心功能Ⅲ～Ⅳ级（NYHA）。</w:t>
      </w:r>
    </w:p>
    <w:p w14:paraId="774E8B3D">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⑤术中诊断</w:t>
      </w:r>
      <w:r>
        <w:rPr>
          <w:rFonts w:hint="eastAsia" w:eastAsia="宋体" w:cs="Times New Roman"/>
          <w:b w:val="0"/>
          <w:bCs w:val="0"/>
          <w:sz w:val="21"/>
          <w:szCs w:val="21"/>
          <w:lang w:val="en-US" w:eastAsia="zh-CN"/>
        </w:rPr>
        <w:t>：冠心病，三支严重病变，前壁、下壁亚急性心梗后。心脏明显扩大。LIMA-LAD；Ao-SVG-D1-OM1-OM2；Ao-SVG-RCA。</w:t>
      </w:r>
    </w:p>
    <w:p w14:paraId="3639A382">
      <w:pPr>
        <w:keepNext w:val="0"/>
        <w:keepLines w:val="0"/>
        <w:pageBreakBefore w:val="0"/>
        <w:kinsoku/>
        <w:wordWrap/>
        <w:overflowPunct/>
        <w:topLinePunct w:val="0"/>
        <w:autoSpaceDN/>
        <w:bidi w:val="0"/>
        <w:adjustRightInd/>
        <w:snapToGrid/>
        <w:spacing w:line="360" w:lineRule="auto"/>
        <w:ind w:firstLine="480" w:firstLineChars="200"/>
        <w:textAlignment w:val="auto"/>
        <w:rPr>
          <w:rFonts w:hint="eastAsia" w:eastAsia="宋体" w:cs="Times New Roman"/>
          <w:b w:val="0"/>
          <w:bCs w:val="0"/>
          <w:sz w:val="21"/>
          <w:szCs w:val="21"/>
          <w:lang w:val="en-US" w:eastAsia="zh-CN"/>
        </w:rPr>
      </w:pPr>
      <w:r>
        <w:drawing>
          <wp:inline distT="0" distB="0" distL="114300" distR="114300">
            <wp:extent cx="635" cy="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35" cy="0"/>
                    </a:xfrm>
                    <a:prstGeom prst="rect">
                      <a:avLst/>
                    </a:prstGeom>
                    <a:noFill/>
                    <a:ln>
                      <a:noFill/>
                    </a:ln>
                  </pic:spPr>
                </pic:pic>
              </a:graphicData>
            </a:graphic>
          </wp:inline>
        </w:drawing>
      </w:r>
      <w:r>
        <w:drawing>
          <wp:inline distT="0" distB="0" distL="114300" distR="114300">
            <wp:extent cx="5262245" cy="2170430"/>
            <wp:effectExtent l="0" t="0" r="571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2245" cy="2170430"/>
                    </a:xfrm>
                    <a:prstGeom prst="rect">
                      <a:avLst/>
                    </a:prstGeom>
                    <a:noFill/>
                    <a:ln>
                      <a:noFill/>
                    </a:ln>
                  </pic:spPr>
                </pic:pic>
              </a:graphicData>
            </a:graphic>
          </wp:inline>
        </w:drawing>
      </w:r>
    </w:p>
    <w:p w14:paraId="00F49D62">
      <w:pPr>
        <w:keepNext w:val="0"/>
        <w:keepLines w:val="0"/>
        <w:pageBreakBefore w:val="0"/>
        <w:kinsoku/>
        <w:wordWrap/>
        <w:overflowPunct/>
        <w:topLinePunct w:val="0"/>
        <w:autoSpaceDN/>
        <w:bidi w:val="0"/>
        <w:adjustRightInd/>
        <w:snapToGrid/>
        <w:spacing w:line="360" w:lineRule="auto"/>
        <w:ind w:firstLine="420" w:firstLineChars="200"/>
        <w:jc w:val="center"/>
        <w:textAlignment w:val="auto"/>
        <w:rPr>
          <w:rFonts w:hint="eastAsia" w:eastAsia="宋体" w:cs="Times New Roman"/>
          <w:b w:val="0"/>
          <w:bCs w:val="0"/>
          <w:sz w:val="21"/>
          <w:szCs w:val="21"/>
          <w:lang w:val="en-US" w:eastAsia="zh-CN"/>
        </w:rPr>
      </w:pPr>
      <w:r>
        <w:rPr>
          <w:rFonts w:hint="eastAsia" w:eastAsia="宋体" w:cs="Times New Roman"/>
          <w:b w:val="0"/>
          <w:bCs w:val="0"/>
          <w:sz w:val="21"/>
          <w:szCs w:val="21"/>
          <w:lang w:val="en-US" w:eastAsia="zh-CN"/>
        </w:rPr>
        <w:t>18F-FDG心肌代谢显像方法和图像分析</w:t>
      </w:r>
    </w:p>
    <w:p w14:paraId="2D603980">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⑥小组任务：</w:t>
      </w:r>
      <w:r>
        <w:rPr>
          <w:rFonts w:hint="eastAsia" w:eastAsia="宋体" w:cs="Times New Roman"/>
          <w:b w:val="0"/>
          <w:bCs w:val="0"/>
          <w:sz w:val="21"/>
          <w:szCs w:val="21"/>
          <w:lang w:val="en-US" w:eastAsia="zh-CN"/>
        </w:rPr>
        <w:t>分析图像中的灌注/代谢特点；判断患者心肌的病理变化；讨论治疗建议：保守管理？进一步介入？心脏康复建议？</w:t>
      </w:r>
    </w:p>
    <w:p w14:paraId="769B60B0">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⑦小组汇报与点评：</w:t>
      </w:r>
      <w:r>
        <w:rPr>
          <w:rFonts w:hint="eastAsia" w:eastAsia="宋体" w:cs="Times New Roman"/>
          <w:b w:val="0"/>
          <w:bCs w:val="0"/>
          <w:sz w:val="21"/>
          <w:szCs w:val="21"/>
          <w:lang w:val="en-US" w:eastAsia="zh-CN"/>
        </w:rPr>
        <w:t>每组选择一名代表进行图像讲解与分析思路汇报，教师从专业角度补充、纠偏，鼓励学生提出创新的分析方法。</w:t>
      </w:r>
    </w:p>
    <w:p w14:paraId="6502AAC9">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⑧课程思政融入：</w:t>
      </w:r>
      <w:r>
        <w:rPr>
          <w:rFonts w:hint="eastAsia" w:eastAsia="宋体" w:cs="Times New Roman"/>
          <w:b w:val="0"/>
          <w:bCs w:val="0"/>
          <w:sz w:val="21"/>
          <w:szCs w:val="21"/>
          <w:lang w:val="en-US" w:eastAsia="zh-CN"/>
        </w:rPr>
        <w:t>结合近年来“年轻人心梗发病率上升”“运动不足与饮食失衡”等社会热点，引导学生关注疾病预防与健康管理的重要性，树立医学人文情怀，理解医疗工作者在健康教育、公共卫生等领域的多重角色，增强社会责任意识。</w:t>
      </w:r>
    </w:p>
    <w:p w14:paraId="6215860B">
      <w:pPr>
        <w:keepNext w:val="0"/>
        <w:keepLines w:val="0"/>
        <w:pageBreakBefore w:val="0"/>
        <w:numPr>
          <w:ilvl w:val="0"/>
          <w:numId w:val="0"/>
        </w:numPr>
        <w:kinsoku/>
        <w:wordWrap/>
        <w:overflowPunct/>
        <w:topLinePunct w:val="0"/>
        <w:autoSpaceDN/>
        <w:bidi w:val="0"/>
        <w:adjustRightInd/>
        <w:snapToGrid/>
        <w:spacing w:line="360" w:lineRule="auto"/>
        <w:ind w:firstLine="422" w:firstLineChars="200"/>
        <w:textAlignment w:val="auto"/>
        <w:rPr>
          <w:rFonts w:hint="eastAsia" w:eastAsia="宋体" w:cs="Times New Roman"/>
          <w:b/>
          <w:bCs/>
          <w:sz w:val="21"/>
          <w:szCs w:val="21"/>
          <w:lang w:val="en-US" w:eastAsia="zh-CN"/>
        </w:rPr>
      </w:pPr>
      <w:r>
        <w:rPr>
          <w:rFonts w:hint="eastAsia" w:eastAsia="宋体" w:cs="Times New Roman"/>
          <w:b/>
          <w:bCs/>
          <w:sz w:val="21"/>
          <w:szCs w:val="21"/>
          <w:lang w:val="en-US" w:eastAsia="zh-CN"/>
        </w:rPr>
        <w:t>（4）总结与拓展（10分钟）</w:t>
      </w:r>
    </w:p>
    <w:p w14:paraId="4CF87BBB">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eastAsia="宋体" w:cs="Times New Roman"/>
          <w:b w:val="0"/>
          <w:bCs w:val="0"/>
          <w:sz w:val="21"/>
          <w:szCs w:val="21"/>
          <w:lang w:val="en-US" w:eastAsia="zh-CN"/>
        </w:rPr>
      </w:pPr>
      <w:r>
        <w:rPr>
          <w:rFonts w:hint="default" w:eastAsia="宋体" w:cs="Times New Roman"/>
          <w:b/>
          <w:bCs/>
          <w:sz w:val="21"/>
          <w:szCs w:val="21"/>
          <w:lang w:val="en-US" w:eastAsia="zh-CN"/>
        </w:rPr>
        <w:t>教学小结：</w:t>
      </w:r>
      <w:r>
        <w:rPr>
          <w:rFonts w:hint="default" w:eastAsia="宋体" w:cs="Times New Roman"/>
          <w:b w:val="0"/>
          <w:bCs w:val="0"/>
          <w:sz w:val="21"/>
          <w:szCs w:val="21"/>
          <w:lang w:val="en-US" w:eastAsia="zh-CN"/>
        </w:rPr>
        <w:t>教师总结本节课的核心知识点与关键技能</w:t>
      </w:r>
      <w:r>
        <w:rPr>
          <w:rFonts w:hint="eastAsia" w:eastAsia="宋体" w:cs="Times New Roman"/>
          <w:b w:val="0"/>
          <w:bCs w:val="0"/>
          <w:sz w:val="21"/>
          <w:szCs w:val="21"/>
          <w:lang w:val="en-US" w:eastAsia="zh-CN"/>
        </w:rPr>
        <w:t>有</w:t>
      </w:r>
      <w:r>
        <w:rPr>
          <w:rFonts w:hint="default" w:eastAsia="宋体" w:cs="Times New Roman"/>
          <w:b w:val="0"/>
          <w:bCs w:val="0"/>
          <w:sz w:val="21"/>
          <w:szCs w:val="21"/>
          <w:lang w:val="en-US" w:eastAsia="zh-CN"/>
        </w:rPr>
        <w:t>三种成像方式的原理、特点与适用场景；图像解读方法与常见异常分析逻辑；如何将显像结果转化为临床决策支持依据。</w:t>
      </w:r>
    </w:p>
    <w:p w14:paraId="33FE8798">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eastAsia="宋体" w:cs="Times New Roman"/>
          <w:b w:val="0"/>
          <w:bCs w:val="0"/>
          <w:sz w:val="21"/>
          <w:szCs w:val="21"/>
          <w:lang w:val="en-US" w:eastAsia="zh-CN"/>
        </w:rPr>
      </w:pPr>
      <w:r>
        <w:rPr>
          <w:rFonts w:hint="default" w:eastAsia="宋体" w:cs="Times New Roman"/>
          <w:b/>
          <w:bCs/>
          <w:sz w:val="21"/>
          <w:szCs w:val="21"/>
          <w:lang w:val="en-US" w:eastAsia="zh-CN"/>
        </w:rPr>
        <w:t>拓展任务：</w:t>
      </w:r>
      <w:r>
        <w:rPr>
          <w:rFonts w:hint="default" w:eastAsia="宋体" w:cs="Times New Roman"/>
          <w:b w:val="0"/>
          <w:bCs w:val="0"/>
          <w:sz w:val="21"/>
          <w:szCs w:val="21"/>
          <w:lang w:val="en-US" w:eastAsia="zh-CN"/>
        </w:rPr>
        <w:t>布置课后作业——选择一种心肌显像技术，查阅近五年其在心血管疾病领域的研究进展，撰写一篇300字应用综述。该任务不仅巩固所学知识，还培养学生信息检索与科研思维能力。</w:t>
      </w:r>
    </w:p>
    <w:p w14:paraId="3AA422DE">
      <w:pPr>
        <w:keepNext w:val="0"/>
        <w:keepLines w:val="0"/>
        <w:pageBreakBefore w:val="0"/>
        <w:numPr>
          <w:ilvl w:val="0"/>
          <w:numId w:val="0"/>
        </w:numPr>
        <w:kinsoku/>
        <w:wordWrap/>
        <w:overflowPunct/>
        <w:topLinePunct w:val="0"/>
        <w:autoSpaceDN/>
        <w:bidi w:val="0"/>
        <w:adjustRightInd/>
        <w:snapToGrid/>
        <w:spacing w:line="360" w:lineRule="auto"/>
        <w:textAlignment w:val="auto"/>
        <w:rPr>
          <w:rFonts w:hint="default" w:eastAsia="宋体" w:cs="Times New Roman"/>
          <w:b/>
          <w:bCs/>
          <w:sz w:val="21"/>
          <w:szCs w:val="21"/>
          <w:lang w:val="en-US" w:eastAsia="zh-CN"/>
        </w:rPr>
      </w:pPr>
      <w:r>
        <w:rPr>
          <w:rFonts w:hint="eastAsia" w:eastAsia="宋体" w:cs="Times New Roman"/>
          <w:b/>
          <w:bCs/>
          <w:sz w:val="21"/>
          <w:szCs w:val="21"/>
          <w:lang w:val="en-US" w:eastAsia="zh-CN"/>
        </w:rPr>
        <w:t>三、</w:t>
      </w:r>
      <w:r>
        <w:rPr>
          <w:rFonts w:hint="default" w:eastAsia="宋体" w:cs="Times New Roman"/>
          <w:b/>
          <w:bCs/>
          <w:sz w:val="21"/>
          <w:szCs w:val="21"/>
          <w:lang w:val="en-US" w:eastAsia="zh-CN"/>
        </w:rPr>
        <w:t>课程思政教学改革的创新点</w:t>
      </w:r>
    </w:p>
    <w:p w14:paraId="463C01DF">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default" w:eastAsia="宋体" w:cs="Times New Roman"/>
          <w:b/>
          <w:bCs/>
          <w:sz w:val="21"/>
          <w:szCs w:val="21"/>
          <w:lang w:val="en-US" w:eastAsia="zh-CN"/>
        </w:rPr>
        <w:t>1. 科技报国精神贯穿专业教学</w:t>
      </w:r>
      <w:r>
        <w:rPr>
          <w:rFonts w:hint="eastAsia" w:eastAsia="宋体" w:cs="Times New Roman"/>
          <w:b/>
          <w:bCs/>
          <w:sz w:val="21"/>
          <w:szCs w:val="21"/>
          <w:lang w:val="en-US" w:eastAsia="zh-CN"/>
        </w:rPr>
        <w:t>：</w:t>
      </w:r>
      <w:r>
        <w:rPr>
          <w:rFonts w:hint="eastAsia" w:eastAsia="宋体" w:cs="Times New Roman"/>
          <w:b w:val="0"/>
          <w:bCs w:val="0"/>
          <w:sz w:val="21"/>
          <w:szCs w:val="21"/>
          <w:lang w:val="en-US" w:eastAsia="zh-CN"/>
        </w:rPr>
        <w:t>通过讲述“两弹一星”精神以及核技术和平转化为核医学技术的发展历程，引导学生将核医学专业发展与国家命运紧密联系，增强使命感。让学生在专业学习中树立“科技为民、科技报国”的信仰与追求。</w:t>
      </w:r>
    </w:p>
    <w:p w14:paraId="4F5EEDF1">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2.医学人文与社会责任并重</w:t>
      </w:r>
      <w:r>
        <w:rPr>
          <w:rFonts w:hint="eastAsia" w:eastAsia="宋体" w:cs="Times New Roman"/>
          <w:b w:val="0"/>
          <w:bCs w:val="0"/>
          <w:sz w:val="21"/>
          <w:szCs w:val="21"/>
          <w:lang w:val="en-US" w:eastAsia="zh-CN"/>
        </w:rPr>
        <w:t>：通过分析心血管疾病流行病学现状，结合我国医疗资源配置差异，引导学生思考如何服务基层、服务人民。培养关心社会、服务大众的医学人文情怀，提升职业素养。</w:t>
      </w:r>
    </w:p>
    <w:p w14:paraId="656F554F">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3.跨学科融合与循证思维培养：</w:t>
      </w:r>
      <w:r>
        <w:rPr>
          <w:rFonts w:hint="eastAsia" w:eastAsia="宋体" w:cs="Times New Roman"/>
          <w:b w:val="0"/>
          <w:bCs w:val="0"/>
          <w:sz w:val="21"/>
          <w:szCs w:val="21"/>
          <w:lang w:val="en-US" w:eastAsia="zh-CN"/>
        </w:rPr>
        <w:t>结合影像学、临床医学、循证医学内容，引导学生在实际临床场景中做出科学、合理的决策。提升学生综合分析能力与临床决策水平。</w:t>
      </w:r>
    </w:p>
    <w:p w14:paraId="7C1FDAFA">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default" w:eastAsia="宋体" w:cs="Times New Roman"/>
          <w:b w:val="0"/>
          <w:bCs w:val="0"/>
          <w:sz w:val="21"/>
          <w:szCs w:val="21"/>
          <w:lang w:val="en-US" w:eastAsia="zh-CN"/>
        </w:rPr>
      </w:pPr>
      <w:r>
        <w:rPr>
          <w:rFonts w:hint="eastAsia" w:eastAsia="宋体" w:cs="Times New Roman"/>
          <w:b/>
          <w:bCs/>
          <w:sz w:val="21"/>
          <w:szCs w:val="21"/>
          <w:lang w:val="en-US" w:eastAsia="zh-CN"/>
        </w:rPr>
        <w:t>4.</w:t>
      </w:r>
      <w:r>
        <w:rPr>
          <w:rFonts w:hint="default" w:eastAsia="宋体" w:cs="Times New Roman"/>
          <w:b/>
          <w:bCs/>
          <w:sz w:val="21"/>
          <w:szCs w:val="21"/>
          <w:lang w:val="en-US" w:eastAsia="zh-CN"/>
        </w:rPr>
        <w:t>实战导向+互动教学模式</w:t>
      </w:r>
      <w:r>
        <w:rPr>
          <w:rFonts w:hint="eastAsia" w:eastAsia="宋体" w:cs="Times New Roman"/>
          <w:b/>
          <w:bCs/>
          <w:sz w:val="21"/>
          <w:szCs w:val="21"/>
          <w:lang w:val="en-US" w:eastAsia="zh-CN"/>
        </w:rPr>
        <w:t>：</w:t>
      </w:r>
      <w:r>
        <w:rPr>
          <w:rFonts w:hint="eastAsia" w:eastAsia="宋体" w:cs="Times New Roman"/>
          <w:b w:val="0"/>
          <w:bCs w:val="0"/>
          <w:sz w:val="21"/>
          <w:szCs w:val="21"/>
          <w:lang w:val="en-US" w:eastAsia="zh-CN"/>
        </w:rPr>
        <w:t>以“病例驱动-技术分析-方案制定”的链条组织教学，增强实战能力；借助讨论与团队协作，提高参与感与表达能力。促进理论联系实际，培养临床思维与团队意识。</w:t>
      </w:r>
    </w:p>
    <w:p w14:paraId="004D3AAA">
      <w:pPr>
        <w:spacing w:line="360" w:lineRule="auto"/>
        <w:rPr>
          <w:rFonts w:hint="eastAsia" w:ascii="宋体" w:hAnsi="宋体" w:eastAsia="宋体"/>
          <w:sz w:val="28"/>
          <w:szCs w:val="28"/>
        </w:rPr>
      </w:pPr>
      <w:r>
        <w:rPr>
          <w:rFonts w:hint="eastAsia" w:ascii="宋体" w:hAnsi="宋体" w:eastAsia="宋体"/>
          <w:sz w:val="28"/>
          <w:szCs w:val="28"/>
        </w:rPr>
        <w:t>（二）教学评价及反思</w:t>
      </w:r>
    </w:p>
    <w:p w14:paraId="44EA0BDB">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bCs/>
          <w:sz w:val="21"/>
          <w:szCs w:val="21"/>
          <w:lang w:val="en-US" w:eastAsia="zh-CN"/>
        </w:rPr>
      </w:pPr>
      <w:r>
        <w:rPr>
          <w:rFonts w:hint="eastAsia" w:eastAsia="宋体" w:cs="Times New Roman"/>
          <w:b/>
          <w:bCs/>
          <w:sz w:val="21"/>
          <w:szCs w:val="21"/>
          <w:lang w:val="en-US" w:eastAsia="zh-CN"/>
        </w:rPr>
        <w:t>一、课程思政教学的优点与成功之处</w:t>
      </w:r>
    </w:p>
    <w:p w14:paraId="1F74EF28">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1.科技报国精神贯穿专业教学，增强使命担当：</w:t>
      </w:r>
      <w:r>
        <w:rPr>
          <w:rFonts w:hint="eastAsia" w:eastAsia="宋体" w:cs="Times New Roman"/>
          <w:b w:val="0"/>
          <w:bCs w:val="0"/>
          <w:sz w:val="21"/>
          <w:szCs w:val="21"/>
          <w:lang w:val="en-US" w:eastAsia="zh-CN"/>
        </w:rPr>
        <w:t>课程以“两弹一星”精神为切入点，将核技术从国防到医疗的和平转化过程贯穿于专业教学全过程。通过回顾老一辈科学家的奋斗历程，引导学生理解核医学技术背后的国家战略意义，激发其专业认同与家国情怀，达到了以史育人、以情动人的思政效果。</w:t>
      </w:r>
    </w:p>
    <w:p w14:paraId="4F5969A3">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2.医学人文与社会责任并重，提升职业素养：</w:t>
      </w:r>
      <w:r>
        <w:rPr>
          <w:rFonts w:hint="eastAsia" w:eastAsia="宋体" w:cs="Times New Roman"/>
          <w:b w:val="0"/>
          <w:bCs w:val="0"/>
          <w:sz w:val="21"/>
          <w:szCs w:val="21"/>
          <w:lang w:val="en-US" w:eastAsia="zh-CN"/>
        </w:rPr>
        <w:t>教学内容紧扣我国心血管疾病现状与防控挑战，强调医疗公平、资源分布差异、基层服务等社会议题，有效拓宽了学生的视野，使学生意识到医学工作者不仅是“技术人”，更是“社会人”，增强了服务人民健康的主动性。</w:t>
      </w:r>
    </w:p>
    <w:p w14:paraId="3F924043">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3.跨学科融合推动思维方式转变：</w:t>
      </w:r>
      <w:r>
        <w:rPr>
          <w:rFonts w:hint="eastAsia" w:eastAsia="宋体" w:cs="Times New Roman"/>
          <w:b w:val="0"/>
          <w:bCs w:val="0"/>
          <w:sz w:val="21"/>
          <w:szCs w:val="21"/>
          <w:lang w:val="en-US" w:eastAsia="zh-CN"/>
        </w:rPr>
        <w:t>教学设计打破单一知识传授的壁垒，将影像学、临床医学与循证医学有机结合，引导学生在复杂问题中运用多学科知识进行判断、分析与决策，切实提升了综合素养与临床思维能力。</w:t>
      </w:r>
    </w:p>
    <w:p w14:paraId="771A35C0">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4.实战导向教学增强临床适应力：</w:t>
      </w:r>
      <w:r>
        <w:rPr>
          <w:rFonts w:hint="eastAsia" w:eastAsia="宋体" w:cs="Times New Roman"/>
          <w:b w:val="0"/>
          <w:bCs w:val="0"/>
          <w:sz w:val="21"/>
          <w:szCs w:val="21"/>
          <w:lang w:val="en-US" w:eastAsia="zh-CN"/>
        </w:rPr>
        <w:t>通过“病例驱动-技术分析-方案制定”的实战教学链条，结合团队合作和课堂讨论，有效提升了学生的参与度与表达能力。在模拟真实临床情境中激发学生学习热情，强化了理论联系实际的能力。</w:t>
      </w:r>
    </w:p>
    <w:p w14:paraId="45972FD0">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bCs/>
          <w:sz w:val="21"/>
          <w:szCs w:val="21"/>
          <w:lang w:val="en-US" w:eastAsia="zh-CN"/>
        </w:rPr>
      </w:pPr>
      <w:r>
        <w:rPr>
          <w:rFonts w:hint="eastAsia" w:eastAsia="宋体" w:cs="Times New Roman"/>
          <w:b/>
          <w:bCs/>
          <w:sz w:val="21"/>
          <w:szCs w:val="21"/>
          <w:lang w:val="en-US" w:eastAsia="zh-CN"/>
        </w:rPr>
        <w:t>二、存在的问题与教学反思</w:t>
      </w:r>
    </w:p>
    <w:p w14:paraId="607A4ECB">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1.思政内容渗透的系统性有待加强：</w:t>
      </w:r>
      <w:r>
        <w:rPr>
          <w:rFonts w:hint="eastAsia" w:eastAsia="宋体" w:cs="Times New Roman"/>
          <w:b w:val="0"/>
          <w:bCs w:val="0"/>
          <w:sz w:val="21"/>
          <w:szCs w:val="21"/>
          <w:lang w:val="en-US" w:eastAsia="zh-CN"/>
        </w:rPr>
        <w:t>尽管课程中融入了多样化的思政元素，但在部分教学环节中仍显得零散，缺乏系统规划与深度引导。学生虽有所感知，但对思政育人目标的整体认知尚不够清晰。</w:t>
      </w:r>
    </w:p>
    <w:p w14:paraId="6251C377">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2.思政与专业融合深度不够均衡：</w:t>
      </w:r>
      <w:r>
        <w:rPr>
          <w:rFonts w:hint="eastAsia" w:eastAsia="宋体" w:cs="Times New Roman"/>
          <w:b w:val="0"/>
          <w:bCs w:val="0"/>
          <w:sz w:val="21"/>
          <w:szCs w:val="21"/>
          <w:lang w:val="en-US" w:eastAsia="zh-CN"/>
        </w:rPr>
        <w:t>在知识性强、技术性高的章节中，教师更倾向于关注专业内容，忽视了价值引导的融合。一些学生反映思政内容“点到为止”，未能引发深入共鸣或思考。</w:t>
      </w:r>
    </w:p>
    <w:p w14:paraId="53150B0E">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3.互动教学对教学组织提出更高要求：</w:t>
      </w:r>
      <w:r>
        <w:rPr>
          <w:rFonts w:hint="eastAsia" w:eastAsia="宋体" w:cs="Times New Roman"/>
          <w:b w:val="0"/>
          <w:bCs w:val="0"/>
          <w:sz w:val="21"/>
          <w:szCs w:val="21"/>
          <w:lang w:val="en-US" w:eastAsia="zh-CN"/>
        </w:rPr>
        <w:t>实战导向与讨论式教学虽增强了学生参与感，但对教师的组织、引导、问题设计能力要求更高，部分教师在实施过程中准备不充分，导致讨论流于表面或互动质量不高。</w:t>
      </w:r>
    </w:p>
    <w:p w14:paraId="782F59FD">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bCs/>
          <w:sz w:val="21"/>
          <w:szCs w:val="21"/>
          <w:lang w:val="en-US" w:eastAsia="zh-CN"/>
        </w:rPr>
      </w:pPr>
      <w:r>
        <w:rPr>
          <w:rFonts w:hint="eastAsia" w:eastAsia="宋体" w:cs="Times New Roman"/>
          <w:b/>
          <w:bCs/>
          <w:sz w:val="21"/>
          <w:szCs w:val="21"/>
          <w:lang w:val="en-US" w:eastAsia="zh-CN"/>
        </w:rPr>
        <w:t>三、改进措施与未来方向</w:t>
      </w:r>
    </w:p>
    <w:p w14:paraId="487441A3">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1.构建系统化课程思政设计框架：</w:t>
      </w:r>
      <w:r>
        <w:rPr>
          <w:rFonts w:hint="eastAsia" w:eastAsia="宋体" w:cs="Times New Roman"/>
          <w:b w:val="0"/>
          <w:bCs w:val="0"/>
          <w:sz w:val="21"/>
          <w:szCs w:val="21"/>
          <w:lang w:val="en-US" w:eastAsia="zh-CN"/>
        </w:rPr>
        <w:t>在课程整体设计中提前规划思政目标与专业知识的融合点，形成“章节-知识点-思政点-评价点”四位一体的教学路径，实现思政内容“有机嵌入”而非“强行加入”。</w:t>
      </w:r>
    </w:p>
    <w:p w14:paraId="51C40612">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2.加强教师思政教学能力培训：</w:t>
      </w:r>
      <w:r>
        <w:rPr>
          <w:rFonts w:hint="eastAsia" w:eastAsia="宋体" w:cs="Times New Roman"/>
          <w:b w:val="0"/>
          <w:bCs w:val="0"/>
          <w:sz w:val="21"/>
          <w:szCs w:val="21"/>
          <w:lang w:val="en-US" w:eastAsia="zh-CN"/>
        </w:rPr>
        <w:t>定期组织教师开展思政教学研讨与教学观摩，强化教师对政策背景、价值引导与课堂互动技巧的理解和应用，推动教师从“教书”向“育人”转型。</w:t>
      </w:r>
    </w:p>
    <w:p w14:paraId="32DB9311">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3.构建多元互动平台提升参与度</w:t>
      </w:r>
      <w:r>
        <w:rPr>
          <w:rFonts w:hint="eastAsia" w:eastAsia="宋体" w:cs="Times New Roman"/>
          <w:b w:val="0"/>
          <w:bCs w:val="0"/>
          <w:sz w:val="21"/>
          <w:szCs w:val="21"/>
          <w:lang w:val="en-US" w:eastAsia="zh-CN"/>
        </w:rPr>
        <w:t>：引入如线上投票、小组辩论、角色扮演等多样化互动方式，提升课堂思政的趣味性与参与感。结合真实病例或热点事件，增强教学的时效性和现实感。</w:t>
      </w:r>
    </w:p>
    <w:p w14:paraId="192A528D">
      <w:pPr>
        <w:keepNext w:val="0"/>
        <w:keepLines w:val="0"/>
        <w:pageBreakBefore w:val="0"/>
        <w:kinsoku/>
        <w:wordWrap/>
        <w:overflowPunct/>
        <w:topLinePunct w:val="0"/>
        <w:autoSpaceDN/>
        <w:bidi w:val="0"/>
        <w:adjustRightInd/>
        <w:snapToGrid/>
        <w:spacing w:line="360" w:lineRule="auto"/>
        <w:ind w:firstLine="422" w:firstLineChars="200"/>
        <w:textAlignment w:val="auto"/>
        <w:rPr>
          <w:rFonts w:hint="eastAsia" w:eastAsia="宋体" w:cs="Times New Roman"/>
          <w:b w:val="0"/>
          <w:bCs w:val="0"/>
          <w:sz w:val="21"/>
          <w:szCs w:val="21"/>
          <w:lang w:val="en-US" w:eastAsia="zh-CN"/>
        </w:rPr>
      </w:pPr>
      <w:r>
        <w:rPr>
          <w:rFonts w:hint="eastAsia" w:eastAsia="宋体" w:cs="Times New Roman"/>
          <w:b/>
          <w:bCs/>
          <w:sz w:val="21"/>
          <w:szCs w:val="21"/>
          <w:lang w:val="en-US" w:eastAsia="zh-CN"/>
        </w:rPr>
        <w:t>4.持续跟踪学生反馈，优化教学策略：</w:t>
      </w:r>
      <w:r>
        <w:rPr>
          <w:rFonts w:hint="eastAsia" w:eastAsia="宋体" w:cs="Times New Roman"/>
          <w:b w:val="0"/>
          <w:bCs w:val="0"/>
          <w:sz w:val="21"/>
          <w:szCs w:val="21"/>
          <w:lang w:val="en-US" w:eastAsia="zh-CN"/>
        </w:rPr>
        <w:t>立学生反馈机制，通过课后问卷、学习心得等形式了解学生对思政内容的接受度与思考深度，动态调整教学内容与方式，实现课程思政的“以生为本”。</w:t>
      </w:r>
    </w:p>
    <w:sectPr>
      <w:pgSz w:w="11900" w:h="18440"/>
      <w:pgMar w:top="1440" w:right="1800" w:bottom="1440" w:left="1800" w:header="0" w:footer="941" w:gutter="0"/>
      <w:cols w:space="425"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9661D1"/>
    <w:multiLevelType w:val="singleLevel"/>
    <w:tmpl w:val="709661D1"/>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4OTU1ZDU0YmQ3ZTJlMDNmYTNkYzdjZTcxMjc4ZWIifQ=="/>
    <w:docVar w:name="KSO_WPS_MARK_KEY" w:val="0f0cdb22-70e7-45fb-a4ee-1c3ef471985e"/>
  </w:docVars>
  <w:rsids>
    <w:rsidRoot w:val="00767862"/>
    <w:rsid w:val="00043327"/>
    <w:rsid w:val="000B39C3"/>
    <w:rsid w:val="0017771D"/>
    <w:rsid w:val="001903E4"/>
    <w:rsid w:val="00207852"/>
    <w:rsid w:val="00225F5A"/>
    <w:rsid w:val="002D73E3"/>
    <w:rsid w:val="003432A4"/>
    <w:rsid w:val="003F1388"/>
    <w:rsid w:val="00471216"/>
    <w:rsid w:val="00491C75"/>
    <w:rsid w:val="00634752"/>
    <w:rsid w:val="00653AEE"/>
    <w:rsid w:val="006579D8"/>
    <w:rsid w:val="00674716"/>
    <w:rsid w:val="00764462"/>
    <w:rsid w:val="00767862"/>
    <w:rsid w:val="007752F4"/>
    <w:rsid w:val="007E7792"/>
    <w:rsid w:val="007F43C5"/>
    <w:rsid w:val="00860325"/>
    <w:rsid w:val="008B2989"/>
    <w:rsid w:val="009224FE"/>
    <w:rsid w:val="009F2905"/>
    <w:rsid w:val="00BC25CB"/>
    <w:rsid w:val="00C84532"/>
    <w:rsid w:val="00CA3005"/>
    <w:rsid w:val="00D4689A"/>
    <w:rsid w:val="00F86798"/>
    <w:rsid w:val="00F87935"/>
    <w:rsid w:val="00F93584"/>
    <w:rsid w:val="00FE563F"/>
    <w:rsid w:val="0147153B"/>
    <w:rsid w:val="038F0F77"/>
    <w:rsid w:val="06456265"/>
    <w:rsid w:val="06E50F6B"/>
    <w:rsid w:val="06FC4B75"/>
    <w:rsid w:val="09533473"/>
    <w:rsid w:val="0A1977EC"/>
    <w:rsid w:val="0AF049F1"/>
    <w:rsid w:val="0D046532"/>
    <w:rsid w:val="0D212044"/>
    <w:rsid w:val="0D330BC5"/>
    <w:rsid w:val="0DC932D7"/>
    <w:rsid w:val="107C474A"/>
    <w:rsid w:val="124D44D7"/>
    <w:rsid w:val="12F26B7A"/>
    <w:rsid w:val="12FB3F33"/>
    <w:rsid w:val="136917E4"/>
    <w:rsid w:val="14885C9A"/>
    <w:rsid w:val="15170DCC"/>
    <w:rsid w:val="15A50334"/>
    <w:rsid w:val="161A0B74"/>
    <w:rsid w:val="1666025D"/>
    <w:rsid w:val="17920BDE"/>
    <w:rsid w:val="17C52D61"/>
    <w:rsid w:val="19E514B8"/>
    <w:rsid w:val="1C52116F"/>
    <w:rsid w:val="1D3855FE"/>
    <w:rsid w:val="1DF60118"/>
    <w:rsid w:val="1E8E20FF"/>
    <w:rsid w:val="1E9A6CF6"/>
    <w:rsid w:val="20E71F9A"/>
    <w:rsid w:val="215313DE"/>
    <w:rsid w:val="21662347"/>
    <w:rsid w:val="220E111D"/>
    <w:rsid w:val="22124DF5"/>
    <w:rsid w:val="24A942AD"/>
    <w:rsid w:val="26123616"/>
    <w:rsid w:val="29152463"/>
    <w:rsid w:val="2A1950EC"/>
    <w:rsid w:val="2E556795"/>
    <w:rsid w:val="2F5527C5"/>
    <w:rsid w:val="2FA64086"/>
    <w:rsid w:val="2FF63FA8"/>
    <w:rsid w:val="327F2033"/>
    <w:rsid w:val="33B273BE"/>
    <w:rsid w:val="3679148F"/>
    <w:rsid w:val="37CD1A92"/>
    <w:rsid w:val="38084878"/>
    <w:rsid w:val="38F60B75"/>
    <w:rsid w:val="39033292"/>
    <w:rsid w:val="3AA40F07"/>
    <w:rsid w:val="3E300CBE"/>
    <w:rsid w:val="407C267F"/>
    <w:rsid w:val="409F2012"/>
    <w:rsid w:val="41A77BAD"/>
    <w:rsid w:val="430F2F5F"/>
    <w:rsid w:val="44421112"/>
    <w:rsid w:val="452847AC"/>
    <w:rsid w:val="46B61944"/>
    <w:rsid w:val="490E1F0B"/>
    <w:rsid w:val="4B215F25"/>
    <w:rsid w:val="4B751DCD"/>
    <w:rsid w:val="4C12586E"/>
    <w:rsid w:val="4FA42499"/>
    <w:rsid w:val="50681F00"/>
    <w:rsid w:val="51577749"/>
    <w:rsid w:val="51DA61D7"/>
    <w:rsid w:val="529C40E3"/>
    <w:rsid w:val="54370568"/>
    <w:rsid w:val="565076BF"/>
    <w:rsid w:val="575136EE"/>
    <w:rsid w:val="57E8209D"/>
    <w:rsid w:val="5B10566E"/>
    <w:rsid w:val="5E151E33"/>
    <w:rsid w:val="5FCA04E2"/>
    <w:rsid w:val="60E23609"/>
    <w:rsid w:val="640F4D03"/>
    <w:rsid w:val="65670581"/>
    <w:rsid w:val="658B0713"/>
    <w:rsid w:val="65FD2C93"/>
    <w:rsid w:val="66C33EDD"/>
    <w:rsid w:val="69A55602"/>
    <w:rsid w:val="6AEA1A38"/>
    <w:rsid w:val="6CC028ED"/>
    <w:rsid w:val="6D027207"/>
    <w:rsid w:val="6D7C5019"/>
    <w:rsid w:val="6EC24A7A"/>
    <w:rsid w:val="71EF6CA6"/>
    <w:rsid w:val="75EA6D90"/>
    <w:rsid w:val="76D44620"/>
    <w:rsid w:val="77EB3293"/>
    <w:rsid w:val="78E026CC"/>
    <w:rsid w:val="7D2A2168"/>
    <w:rsid w:val="7EB27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heme="minorBidi"/>
      <w:kern w:val="2"/>
      <w:sz w:val="24"/>
      <w:szCs w:val="22"/>
      <w:lang w:val="en-US" w:eastAsia="zh-CN" w:bidi="ar-SA"/>
      <w14:ligatures w14:val="standardContextual"/>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asciiTheme="minorHAnsi" w:hAnsiTheme="minorHAnsi" w:eastAsiaTheme="minorEastAsia" w:cstheme="majorBidi"/>
      <w:color w:val="2F5597"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asciiTheme="minorHAnsi" w:hAnsiTheme="minorHAnsi" w:eastAsiaTheme="minorEastAsia" w:cstheme="majorBidi"/>
      <w:color w:val="2F5597" w:themeColor="accent1" w:themeShade="BF"/>
      <w:szCs w:val="24"/>
    </w:rPr>
  </w:style>
  <w:style w:type="paragraph" w:styleId="7">
    <w:name w:val="heading 6"/>
    <w:basedOn w:val="1"/>
    <w:next w:val="1"/>
    <w:link w:val="23"/>
    <w:semiHidden/>
    <w:unhideWhenUsed/>
    <w:qFormat/>
    <w:uiPriority w:val="9"/>
    <w:pPr>
      <w:keepNext/>
      <w:keepLines/>
      <w:spacing w:before="40"/>
      <w:outlineLvl w:val="5"/>
    </w:pPr>
    <w:rPr>
      <w:rFonts w:asciiTheme="minorHAnsi" w:hAnsiTheme="minorHAnsi" w:eastAsiaTheme="minorEastAsia" w:cstheme="majorBidi"/>
      <w:b/>
      <w:bCs/>
      <w:color w:val="2F5597" w:themeColor="accent1" w:themeShade="BF"/>
    </w:rPr>
  </w:style>
  <w:style w:type="paragraph" w:styleId="8">
    <w:name w:val="heading 7"/>
    <w:basedOn w:val="1"/>
    <w:next w:val="1"/>
    <w:link w:val="24"/>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3">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6">
    <w:name w:val="Strong"/>
    <w:basedOn w:val="15"/>
    <w:qFormat/>
    <w:uiPriority w:val="22"/>
    <w:rPr>
      <w:b/>
    </w:rPr>
  </w:style>
  <w:style w:type="character" w:styleId="17">
    <w:name w:val="Hyperlink"/>
    <w:basedOn w:val="15"/>
    <w:semiHidden/>
    <w:unhideWhenUsed/>
    <w:qFormat/>
    <w:uiPriority w:val="99"/>
    <w:rPr>
      <w:color w:val="0000FF"/>
      <w:u w:val="single"/>
    </w:rPr>
  </w:style>
  <w:style w:type="character" w:customStyle="1" w:styleId="18">
    <w:name w:val="标题 1 字符"/>
    <w:basedOn w:val="15"/>
    <w:link w:val="2"/>
    <w:qFormat/>
    <w:uiPriority w:val="9"/>
    <w:rPr>
      <w:rFonts w:asciiTheme="majorHAnsi" w:hAnsiTheme="majorHAnsi" w:eastAsiaTheme="majorEastAsia" w:cstheme="majorBidi"/>
      <w:color w:val="2F5597" w:themeColor="accent1" w:themeShade="BF"/>
      <w:sz w:val="48"/>
      <w:szCs w:val="48"/>
    </w:rPr>
  </w:style>
  <w:style w:type="character" w:customStyle="1" w:styleId="19">
    <w:name w:val="标题 2 字符"/>
    <w:basedOn w:val="15"/>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0">
    <w:name w:val="标题 3 字符"/>
    <w:basedOn w:val="15"/>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1">
    <w:name w:val="标题 4 字符"/>
    <w:basedOn w:val="15"/>
    <w:link w:val="5"/>
    <w:semiHidden/>
    <w:qFormat/>
    <w:uiPriority w:val="9"/>
    <w:rPr>
      <w:rFonts w:asciiTheme="minorHAnsi" w:hAnsiTheme="minorHAnsi" w:eastAsiaTheme="minorEastAsia" w:cstheme="majorBidi"/>
      <w:color w:val="2F5597" w:themeColor="accent1" w:themeShade="BF"/>
      <w:sz w:val="28"/>
      <w:szCs w:val="28"/>
    </w:rPr>
  </w:style>
  <w:style w:type="character" w:customStyle="1" w:styleId="22">
    <w:name w:val="标题 5 字符"/>
    <w:basedOn w:val="15"/>
    <w:link w:val="6"/>
    <w:semiHidden/>
    <w:qFormat/>
    <w:uiPriority w:val="9"/>
    <w:rPr>
      <w:rFonts w:asciiTheme="minorHAnsi" w:hAnsiTheme="minorHAnsi" w:eastAsiaTheme="minorEastAsia" w:cstheme="majorBidi"/>
      <w:color w:val="2F5597" w:themeColor="accent1" w:themeShade="BF"/>
      <w:szCs w:val="24"/>
    </w:rPr>
  </w:style>
  <w:style w:type="character" w:customStyle="1" w:styleId="23">
    <w:name w:val="标题 6 字符"/>
    <w:basedOn w:val="15"/>
    <w:link w:val="7"/>
    <w:semiHidden/>
    <w:qFormat/>
    <w:uiPriority w:val="9"/>
    <w:rPr>
      <w:rFonts w:asciiTheme="minorHAnsi" w:hAnsiTheme="minorHAnsi" w:eastAsiaTheme="minorEastAsia" w:cstheme="majorBidi"/>
      <w:b/>
      <w:bCs/>
      <w:color w:val="2F5597" w:themeColor="accent1" w:themeShade="BF"/>
    </w:rPr>
  </w:style>
  <w:style w:type="character" w:customStyle="1" w:styleId="24">
    <w:name w:val="标题 7 字符"/>
    <w:basedOn w:val="15"/>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5"/>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5"/>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5"/>
    <w:link w:val="13"/>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5"/>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5"/>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明显强调1"/>
    <w:basedOn w:val="15"/>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明显引用 字符"/>
    <w:basedOn w:val="15"/>
    <w:link w:val="33"/>
    <w:qFormat/>
    <w:uiPriority w:val="30"/>
    <w:rPr>
      <w:i/>
      <w:iCs/>
      <w:color w:val="2F5597" w:themeColor="accent1" w:themeShade="BF"/>
    </w:rPr>
  </w:style>
  <w:style w:type="character" w:customStyle="1" w:styleId="35">
    <w:name w:val="明显参考1"/>
    <w:basedOn w:val="15"/>
    <w:qFormat/>
    <w:uiPriority w:val="32"/>
    <w:rPr>
      <w:b/>
      <w:bCs/>
      <w:smallCaps/>
      <w:color w:val="2F5597" w:themeColor="accent1" w:themeShade="BF"/>
      <w:spacing w:val="5"/>
    </w:rPr>
  </w:style>
  <w:style w:type="character" w:customStyle="1" w:styleId="36">
    <w:name w:val="num32"/>
    <w:basedOn w:val="15"/>
    <w:qFormat/>
    <w:uiPriority w:val="0"/>
    <w:rPr>
      <w:color w:val="645A5A"/>
      <w:sz w:val="45"/>
      <w:szCs w:val="45"/>
    </w:rPr>
  </w:style>
  <w:style w:type="character" w:customStyle="1" w:styleId="37">
    <w:name w:val="layui-layer-tabnow"/>
    <w:basedOn w:val="15"/>
    <w:qFormat/>
    <w:uiPriority w:val="0"/>
    <w:rPr>
      <w:bdr w:val="single" w:color="E6E6E6" w:sz="6" w:space="0"/>
      <w:shd w:val="clear" w:fill="FFFFFF"/>
    </w:rPr>
  </w:style>
  <w:style w:type="character" w:customStyle="1" w:styleId="38">
    <w:name w:val="gt"/>
    <w:basedOn w:val="15"/>
    <w:qFormat/>
    <w:uiPriority w:val="0"/>
    <w:rPr>
      <w:color w:val="646464"/>
    </w:rPr>
  </w:style>
  <w:style w:type="character" w:customStyle="1" w:styleId="39">
    <w:name w:val="icon_yg"/>
    <w:basedOn w:val="15"/>
    <w:qFormat/>
    <w:uiPriority w:val="0"/>
    <w:rPr>
      <w:sz w:val="0"/>
      <w:szCs w:val="0"/>
    </w:rPr>
  </w:style>
  <w:style w:type="character" w:customStyle="1" w:styleId="40">
    <w:name w:val="on1"/>
    <w:basedOn w:val="15"/>
    <w:qFormat/>
    <w:uiPriority w:val="0"/>
    <w:rPr>
      <w:color w:val="FF2832"/>
    </w:rPr>
  </w:style>
  <w:style w:type="character" w:customStyle="1" w:styleId="41">
    <w:name w:val="first-child"/>
    <w:basedOn w:val="15"/>
    <w:qFormat/>
    <w:uiPriority w:val="0"/>
  </w:style>
  <w:style w:type="character" w:customStyle="1" w:styleId="42">
    <w:name w:val="on"/>
    <w:basedOn w:val="15"/>
    <w:qFormat/>
    <w:uiPriority w:val="0"/>
    <w:rPr>
      <w:color w:val="FF28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NUL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6584</Words>
  <Characters>6997</Characters>
  <Lines>4</Lines>
  <Paragraphs>1</Paragraphs>
  <TotalTime>14</TotalTime>
  <ScaleCrop>false</ScaleCrop>
  <LinksUpToDate>false</LinksUpToDate>
  <CharactersWithSpaces>7038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2025-03-12T02:43:00Z</dcterms:created>
  <dc:creator>eslone</dc:creator>
  <cp:lastModifiedBy>WPS_1660107513</cp:lastModifiedBy>
  <cp:lastPrinted>2025-03-12T03:35:00Z</cp:lastPrinted>
  <dcterms:modified xsi:type="dcterms:W3CDTF">2025-05-29T03:05:54Z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B649B51B23164972B47DDCE97106B10B_13</vt:lpwstr>
  </property>
  <property fmtid="{D5CDD505-2E9C-101B-9397-08002B2CF9AE}" pid="4" name="KSOTemplateDocerSaveRecord">
    <vt:lpwstr>eyJoZGlkIjoiMzAzYTg3ZWRhOTVhNjI3YjA0ZTFjMDg3ZWFkYWMxNjQiLCJ1c2VySWQiOiIxMzk4NTUxOTcyIn0=</vt:lpwstr>
  </property>
</Properties>
</file>